
<file path=[Content_Types].xml><?xml version="1.0" encoding="utf-8"?>
<Types xmlns="http://schemas.openxmlformats.org/package/2006/content-types">
  <Default Extension="svg" ContentType="image/svg+xml"/>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1073"/>
        <w:ind w:left="0"/>
        <w:jc w:val="center"/>
        <w:keepNext/>
      </w:pPr>
      <w:r>
        <w:rPr>
          <w:highlight w:val="none"/>
        </w:rPr>
      </w:r>
      <w:r>
        <mc:AlternateContent>
          <mc:Choice Requires="wpg">
            <w:drawing>
              <wp:anchor xmlns:wp="http://schemas.openxmlformats.org/drawingml/2006/wordprocessingDrawing" xmlns:wp14="http://schemas.microsoft.com/office/word/2010/wordprocessingDrawing" distT="0" distB="180340" distL="114300" distR="114300" simplePos="0" relativeHeight="251659264" behindDoc="0" locked="0" layoutInCell="1" allowOverlap="1">
                <wp:simplePos x="0" y="0"/>
                <wp:positionH relativeFrom="margin">
                  <wp:posOffset>2589988</wp:posOffset>
                </wp:positionH>
                <wp:positionV relativeFrom="paragraph">
                  <wp:posOffset>-161143</wp:posOffset>
                </wp:positionV>
                <wp:extent cx="1116000" cy="540000"/>
                <wp:effectExtent l="0" t="0" r="0" b="0"/>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220608" name=""/>
                        <pic:cNvPicPr>
                          <a:picLocks noChangeAspect="1"/>
                        </pic:cNvPicPr>
                        <pic:nvPr/>
                      </pic:nvPicPr>
                      <pic:blipFill>
                        <a:blip r:embed="rId12"/>
                        <a:stretch/>
                      </pic:blipFill>
                      <pic:spPr bwMode="auto">
                        <a:xfrm rot="0" flipH="0" flipV="0">
                          <a:off x="0" y="0"/>
                          <a:ext cx="1116000" cy="540000"/>
                        </a:xfrm>
                        <a:prstGeom prst="rect">
                          <a:avLst/>
                        </a:prstGeom>
                      </pic:spPr>
                    </pic:pic>
                  </a:graphicData>
                </a:graphic>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position:absolute;z-index:251659264;o:allowoverlap:true;o:allowincell:true;mso-position-horizontal-relative:margin;margin-left:203.94pt;mso-position-horizontal:absolute;mso-position-vertical-relative:text;margin-top:-12.69pt;mso-position-vertical:absolute;width:87.87pt;height:42.52pt;mso-wrap-distance-left:9.00pt;mso-wrap-distance-top:0.00pt;mso-wrap-distance-right:9.00pt;mso-wrap-distance-bottom:14.20pt;rotation:0;" stroked="false">
                <v:path textboxrect="0,0,0,0"/>
                <w10:wrap type="topAndBottom"/>
                <v:imagedata r:id="rId12" o:title=""/>
              </v:shape>
            </w:pict>
          </mc:Fallback>
        </mc:AlternateContent>
      </w:r>
      <w:r>
        <w:rPr>
          <w:szCs w:val="28"/>
        </w:rPr>
        <w:t xml:space="preserve"> </w:t>
      </w:r>
      <w:r>
        <w:rPr>
          <w:b/>
          <w:bCs/>
          <w:sz w:val="24"/>
          <w:szCs w:val="24"/>
        </w:rPr>
        <w:t xml:space="preserve">Акционерное общество «Дальневосточная генерирующая компания»</w:t>
      </w:r>
      <w:r/>
    </w:p>
    <w:p>
      <w:pPr>
        <w:pStyle w:val="1073"/>
        <w:ind w:left="4536"/>
        <w:keepNext/>
        <w:rPr>
          <w:highlight w:val="none"/>
        </w:rPr>
      </w:pPr>
      <w:r>
        <w:rPr>
          <w:highlight w:val="none"/>
        </w:rPr>
      </w:r>
      <w:r>
        <w:rPr>
          <w:highlight w:val="none"/>
        </w:rPr>
      </w:r>
      <w:r>
        <w:rPr>
          <w:highlight w:val="none"/>
        </w:rPr>
      </w:r>
    </w:p>
    <w:p>
      <w:pPr>
        <w:pStyle w:val="1073"/>
        <w:ind w:left="4536"/>
        <w:keepNext/>
        <w:rPr>
          <w:highlight w:val="none"/>
        </w:rPr>
      </w:pPr>
      <w:r>
        <w:rPr>
          <w:highlight w:val="none"/>
        </w:rPr>
      </w:r>
      <w:r>
        <w:rPr>
          <w:highlight w:val="none"/>
        </w:rPr>
      </w:r>
      <w:r>
        <w:rPr>
          <w:highlight w:val="none"/>
        </w:rPr>
      </w:r>
    </w:p>
    <w:p>
      <w:pPr>
        <w:pStyle w:val="1073"/>
        <w:ind w:left="4536"/>
        <w:keepNext/>
        <w:rPr>
          <w:highlight w:val="none"/>
        </w:rPr>
      </w:pPr>
      <w:r>
        <w:rPr>
          <w:highlight w:val="none"/>
        </w:rPr>
      </w:r>
      <w:r>
        <w:rPr>
          <w:highlight w:val="none"/>
        </w:rPr>
      </w:r>
      <w:r>
        <w:rPr>
          <w:highlight w:val="none"/>
        </w:rPr>
      </w:r>
    </w:p>
    <w:p>
      <w:pPr>
        <w:ind w:firstLine="567"/>
        <w:jc w:val="right"/>
        <w:spacing w:line="276" w:lineRule="auto"/>
        <w:rPr>
          <w:rFonts w:ascii="Times New Roman" w:hAnsi="Times New Roman" w:cs="Times New Roman"/>
          <w:b/>
          <w:sz w:val="24"/>
          <w:szCs w:val="24"/>
        </w:rPr>
      </w:pPr>
      <w:r>
        <w:rPr>
          <w:sz w:val="26"/>
          <w:szCs w:val="26"/>
        </w:rPr>
        <w:t xml:space="preserve">       </w:t>
      </w:r>
      <w:r>
        <w:rPr>
          <w:rFonts w:ascii="Times New Roman" w:hAnsi="Times New Roman" w:eastAsia="Times New Roman" w:cs="Times New Roman"/>
          <w:b/>
          <w:sz w:val="24"/>
          <w:szCs w:val="24"/>
        </w:rPr>
        <w:t xml:space="preserve">«УТВЕРЖДАЮ»</w:t>
      </w:r>
      <w:r>
        <w:rPr>
          <w:rFonts w:ascii="Times New Roman" w:hAnsi="Times New Roman" w:cs="Times New Roman"/>
          <w:b/>
          <w:sz w:val="24"/>
          <w:szCs w:val="24"/>
        </w:rPr>
      </w:r>
      <w:r>
        <w:rPr>
          <w:rFonts w:ascii="Times New Roman" w:hAnsi="Times New Roman" w:cs="Times New Roman"/>
          <w:b/>
          <w:sz w:val="24"/>
          <w:szCs w:val="24"/>
        </w:rPr>
      </w:r>
    </w:p>
    <w:p>
      <w:pPr>
        <w:ind w:left="5103"/>
        <w:jc w:val="right"/>
        <w:spacing w:line="276" w:lineRule="auto"/>
        <w:rPr>
          <w:rFonts w:ascii="Times New Roman" w:hAnsi="Times New Roman" w:cs="Times New Roman"/>
          <w:b/>
          <w:sz w:val="24"/>
          <w:szCs w:val="24"/>
        </w:rPr>
      </w:pPr>
      <w:r>
        <w:rPr>
          <w:rFonts w:ascii="Times New Roman" w:hAnsi="Times New Roman" w:eastAsia="Times New Roman" w:cs="Times New Roman"/>
          <w:b/>
          <w:sz w:val="24"/>
          <w:szCs w:val="24"/>
        </w:rPr>
        <w:t xml:space="preserve">П</w:t>
      </w:r>
      <w:r>
        <w:rPr>
          <w:rFonts w:ascii="Times New Roman" w:hAnsi="Times New Roman" w:eastAsia="Times New Roman" w:cs="Times New Roman"/>
          <w:b/>
          <w:sz w:val="24"/>
          <w:szCs w:val="24"/>
        </w:rPr>
        <w:t xml:space="preserve">редседател</w:t>
      </w:r>
      <w:r>
        <w:rPr>
          <w:rFonts w:ascii="Times New Roman" w:hAnsi="Times New Roman" w:eastAsia="Times New Roman" w:cs="Times New Roman"/>
          <w:b/>
          <w:sz w:val="24"/>
          <w:szCs w:val="24"/>
        </w:rPr>
        <w:t xml:space="preserve">ь</w:t>
      </w:r>
      <w:r>
        <w:rPr>
          <w:rFonts w:ascii="Times New Roman" w:hAnsi="Times New Roman" w:eastAsia="Times New Roman" w:cs="Times New Roman"/>
          <w:b/>
          <w:sz w:val="24"/>
          <w:szCs w:val="24"/>
        </w:rPr>
        <w:t xml:space="preserve"> закупочной комиссии АО «ДГК» 1-го уровня</w:t>
      </w:r>
      <w:r>
        <w:rPr>
          <w:rFonts w:ascii="Times New Roman" w:hAnsi="Times New Roman" w:eastAsia="Times New Roman" w:cs="Times New Roman"/>
          <w:b/>
          <w:sz w:val="24"/>
          <w:szCs w:val="24"/>
        </w:rPr>
        <w:t xml:space="preserve">-</w:t>
      </w:r>
      <w:r>
        <w:rPr>
          <w:rFonts w:ascii="Times New Roman" w:hAnsi="Times New Roman" w:cs="Times New Roman"/>
          <w:b/>
          <w:sz w:val="24"/>
          <w:szCs w:val="24"/>
        </w:rPr>
      </w:r>
      <w:r>
        <w:rPr>
          <w:rFonts w:ascii="Times New Roman" w:hAnsi="Times New Roman" w:cs="Times New Roman"/>
          <w:b/>
          <w:sz w:val="24"/>
          <w:szCs w:val="24"/>
        </w:rPr>
      </w:r>
    </w:p>
    <w:p>
      <w:pPr>
        <w:ind w:left="5103"/>
        <w:jc w:val="right"/>
        <w:spacing w:line="276" w:lineRule="auto"/>
        <w:rPr>
          <w:rFonts w:ascii="Times New Roman" w:hAnsi="Times New Roman" w:cs="Times New Roman"/>
          <w:b/>
          <w:sz w:val="24"/>
          <w:szCs w:val="24"/>
        </w:rPr>
      </w:pPr>
      <w:r>
        <w:rPr>
          <w:rFonts w:ascii="Times New Roman" w:hAnsi="Times New Roman" w:eastAsia="Times New Roman" w:cs="Times New Roman"/>
          <w:b/>
          <w:sz w:val="24"/>
          <w:szCs w:val="24"/>
        </w:rPr>
        <w:t xml:space="preserve">Заместитель генерального директора по управлению ресурсами АО «ДГК»</w:t>
      </w:r>
      <w:r>
        <w:rPr>
          <w:rFonts w:ascii="Times New Roman" w:hAnsi="Times New Roman" w:cs="Times New Roman"/>
          <w:b/>
          <w:sz w:val="24"/>
          <w:szCs w:val="24"/>
        </w:rPr>
      </w:r>
      <w:r>
        <w:rPr>
          <w:rFonts w:ascii="Times New Roman" w:hAnsi="Times New Roman" w:cs="Times New Roman"/>
          <w:b/>
          <w:sz w:val="24"/>
          <w:szCs w:val="24"/>
        </w:rPr>
      </w:r>
    </w:p>
    <w:p>
      <w:pPr>
        <w:ind w:firstLine="567"/>
        <w:jc w:val="center"/>
        <w:spacing w:line="276" w:lineRule="auto"/>
        <w:rPr>
          <w:rFonts w:ascii="Times New Roman" w:hAnsi="Times New Roman" w:cs="Times New Roman"/>
          <w:b/>
          <w:sz w:val="24"/>
          <w:szCs w:val="24"/>
        </w:rPr>
      </w:pPr>
      <w:r>
        <w:rPr>
          <w:rFonts w:ascii="Times New Roman" w:hAnsi="Times New Roman" w:eastAsia="Times New Roman" w:cs="Times New Roman"/>
          <w:b/>
          <w:sz w:val="24"/>
          <w:szCs w:val="24"/>
        </w:rPr>
        <w:t xml:space="preserve">                                                                                            </w:t>
      </w:r>
      <w:r>
        <w:rPr>
          <w:rFonts w:ascii="Times New Roman" w:hAnsi="Times New Roman" w:eastAsia="Times New Roman" w:cs="Times New Roman"/>
          <w:b/>
          <w:sz w:val="24"/>
          <w:szCs w:val="24"/>
        </w:rPr>
        <w:t xml:space="preserve">__________________ </w:t>
      </w:r>
      <w:r>
        <w:rPr>
          <w:rFonts w:ascii="Times New Roman" w:hAnsi="Times New Roman" w:eastAsia="Times New Roman" w:cs="Times New Roman"/>
          <w:b/>
          <w:sz w:val="24"/>
          <w:szCs w:val="24"/>
        </w:rPr>
        <w:t xml:space="preserve">Д.А.Богонатов</w:t>
      </w:r>
      <w:r>
        <w:rPr>
          <w:rFonts w:ascii="Times New Roman" w:hAnsi="Times New Roman" w:cs="Times New Roman"/>
          <w:b/>
          <w:sz w:val="24"/>
          <w:szCs w:val="24"/>
        </w:rPr>
      </w:r>
      <w:r>
        <w:rPr>
          <w:rFonts w:ascii="Times New Roman" w:hAnsi="Times New Roman" w:cs="Times New Roman"/>
          <w:b/>
          <w:sz w:val="24"/>
          <w:szCs w:val="24"/>
        </w:rPr>
      </w:r>
    </w:p>
    <w:p>
      <w:pPr>
        <w:jc w:val="center"/>
        <w:spacing w:after="160" w:line="276" w:lineRule="auto"/>
        <w:rPr>
          <w:rFonts w:ascii="Times New Roman" w:hAnsi="Times New Roman" w:cs="Times New Roman"/>
          <w:b/>
          <w:bCs/>
          <w:sz w:val="24"/>
          <w:szCs w:val="24"/>
          <w:highlight w:val="none"/>
        </w:rPr>
      </w:pPr>
      <w:r>
        <w:rPr>
          <w:rFonts w:ascii="Times New Roman" w:hAnsi="Times New Roman" w:eastAsia="Times New Roman" w:cs="Times New Roman"/>
          <w:b/>
          <w:sz w:val="24"/>
          <w:szCs w:val="24"/>
        </w:rPr>
        <w:t xml:space="preserve">                                                                                    </w:t>
      </w:r>
      <w:r>
        <w:rPr>
          <w:rFonts w:ascii="Times New Roman" w:hAnsi="Times New Roman" w:eastAsia="Times New Roman" w:cs="Times New Roman"/>
          <w:b/>
          <w:sz w:val="24"/>
          <w:szCs w:val="24"/>
        </w:rPr>
        <w:t xml:space="preserve">           </w:t>
      </w:r>
      <w:r>
        <w:rPr>
          <w:rFonts w:ascii="Times New Roman" w:hAnsi="Times New Roman" w:eastAsia="Times New Roman" w:cs="Times New Roman"/>
          <w:b/>
          <w:sz w:val="24"/>
          <w:szCs w:val="24"/>
        </w:rPr>
        <w:t xml:space="preserve">«___» _______________</w:t>
      </w:r>
      <w:r>
        <w:rPr>
          <w:rFonts w:ascii="Times New Roman" w:hAnsi="Times New Roman" w:eastAsia="Times New Roman" w:cs="Times New Roman"/>
          <w:b/>
          <w:sz w:val="24"/>
          <w:szCs w:val="24"/>
        </w:rPr>
        <w:t xml:space="preserve">___</w:t>
      </w:r>
      <w:r>
        <w:rPr>
          <w:rFonts w:ascii="Times New Roman" w:hAnsi="Times New Roman" w:eastAsia="Times New Roman" w:cs="Times New Roman"/>
          <w:b/>
          <w:sz w:val="24"/>
          <w:szCs w:val="24"/>
        </w:rPr>
        <w:t xml:space="preserve"> 2026</w:t>
      </w:r>
      <w:r>
        <w:rPr>
          <w:rFonts w:ascii="Times New Roman" w:hAnsi="Times New Roman" w:eastAsia="Times New Roman" w:cs="Times New Roman"/>
          <w:b/>
          <w:sz w:val="24"/>
          <w:szCs w:val="24"/>
        </w:rPr>
        <w:t xml:space="preserve"> г.</w:t>
      </w:r>
      <w:r>
        <w:rPr>
          <w:rFonts w:ascii="Times New Roman" w:hAnsi="Times New Roman" w:cs="Times New Roman"/>
          <w:b/>
          <w:bCs/>
          <w:sz w:val="24"/>
          <w:szCs w:val="24"/>
          <w:highlight w:val="none"/>
        </w:rPr>
      </w:r>
      <w:r>
        <w:rPr>
          <w:rFonts w:ascii="Times New Roman" w:hAnsi="Times New Roman" w:cs="Times New Roman"/>
          <w:b/>
          <w:bCs/>
          <w:sz w:val="24"/>
          <w:szCs w:val="24"/>
          <w:highlight w:val="none"/>
        </w:rPr>
      </w:r>
    </w:p>
    <w:p>
      <w:pPr>
        <w:pStyle w:val="1073"/>
        <w:ind w:left="4536"/>
        <w:keepNext/>
      </w:pPr>
      <w:r/>
      <w:r/>
    </w:p>
    <w:p>
      <w:pPr>
        <w:pStyle w:val="1073"/>
      </w:pPr>
      <w:r/>
      <w:r/>
    </w:p>
    <w:p>
      <w:pPr>
        <w:pStyle w:val="1073"/>
      </w:pPr>
      <w:r/>
      <w:r/>
    </w:p>
    <w:p>
      <w:pPr>
        <w:pStyle w:val="1073"/>
      </w:pPr>
      <w:r/>
      <w:r/>
    </w:p>
    <w:p>
      <w:pPr>
        <w:pStyle w:val="1073"/>
        <w:jc w:val="center"/>
        <w:keepNext/>
        <w:rPr>
          <w:b/>
          <w:bCs/>
          <w:caps/>
        </w:rPr>
        <w:outlineLvl w:val="2"/>
      </w:pPr>
      <w:r>
        <w:rPr>
          <w:b/>
          <w:bCs/>
          <w:caps/>
        </w:rPr>
        <w:t xml:space="preserve">Документация о закупке</w:t>
      </w:r>
      <w:r>
        <w:rPr>
          <w:b/>
          <w:bCs/>
          <w:caps/>
        </w:rPr>
      </w:r>
      <w:r>
        <w:rPr>
          <w:b/>
          <w:bCs/>
          <w:caps/>
        </w:rPr>
      </w:r>
    </w:p>
    <w:p>
      <w:pPr>
        <w:pStyle w:val="1063"/>
        <w:ind w:left="-108" w:right="-108" w:firstLine="0"/>
        <w:jc w:val="center"/>
        <w:spacing w:before="11" w:after="11"/>
        <w:widowControl w:val="off"/>
        <w:rPr>
          <w:rFonts w:ascii="Times New Roman" w:hAnsi="Times New Roman" w:cs="Times New Roman"/>
          <w:b/>
          <w:bCs/>
          <w:i w:val="0"/>
          <w:sz w:val="28"/>
          <w:szCs w:val="28"/>
        </w:rPr>
      </w:pPr>
      <w:r>
        <w:rPr>
          <w:rFonts w:ascii="Times New Roman" w:hAnsi="Times New Roman" w:eastAsia="Times New Roman" w:cs="Times New Roman"/>
          <w:i w:val="0"/>
          <w:iCs w:val="0"/>
          <w:sz w:val="28"/>
          <w:szCs w:val="28"/>
        </w:rPr>
        <w:t xml:space="preserve">Запрос котировок в электронной форме,</w:t>
      </w:r>
      <w:r>
        <w:rPr>
          <w:rFonts w:ascii="Times New Roman" w:hAnsi="Times New Roman" w:eastAsia="Times New Roman" w:cs="Times New Roman"/>
          <w:i w:val="0"/>
          <w:iCs w:val="0"/>
          <w:sz w:val="28"/>
          <w:szCs w:val="28"/>
        </w:rPr>
        <w:br/>
        <w:t xml:space="preserve">участниками </w:t>
      </w:r>
      <w:r>
        <w:rPr>
          <w:rFonts w:ascii="Times New Roman" w:hAnsi="Times New Roman" w:eastAsia="Times New Roman" w:cs="Times New Roman"/>
          <w:i w:val="0"/>
          <w:iCs w:val="0"/>
          <w:sz w:val="28"/>
          <w:szCs w:val="28"/>
        </w:rPr>
        <w:t xml:space="preserve">которого могут быть только субъекты МСП</w:t>
      </w:r>
      <w:r>
        <w:rPr>
          <w:rFonts w:ascii="Times New Roman" w:hAnsi="Times New Roman" w:eastAsia="Times New Roman" w:cs="Times New Roman"/>
          <w:i w:val="0"/>
          <w:iCs w:val="0"/>
          <w:sz w:val="28"/>
          <w:szCs w:val="28"/>
        </w:rPr>
        <w:t xml:space="preserve">,</w:t>
      </w:r>
      <w:r>
        <w:rPr>
          <w:rFonts w:ascii="Times New Roman" w:hAnsi="Times New Roman" w:eastAsia="Times New Roman" w:cs="Times New Roman"/>
          <w:i w:val="0"/>
          <w:iCs w:val="0"/>
          <w:sz w:val="28"/>
          <w:szCs w:val="28"/>
        </w:rPr>
        <w:br/>
      </w:r>
      <w:r>
        <w:rPr>
          <w:rFonts w:ascii="Times New Roman" w:hAnsi="Times New Roman" w:eastAsia="Times New Roman" w:cs="Times New Roman"/>
          <w:i w:val="0"/>
          <w:iCs w:val="0"/>
          <w:sz w:val="28"/>
          <w:szCs w:val="28"/>
        </w:rPr>
        <w:t xml:space="preserve">на право заключения договора на </w:t>
      </w:r>
      <w:r>
        <w:rPr>
          <w:rFonts w:ascii="Times New Roman" w:hAnsi="Times New Roman" w:eastAsia="Times New Roman" w:cs="Times New Roman"/>
          <w:b/>
          <w:bCs/>
          <w:i w:val="0"/>
          <w:iCs w:val="0"/>
          <w:caps w:val="0"/>
          <w:smallCaps w:val="0"/>
          <w:color w:val="000000" w:themeColor="text1"/>
          <w:spacing w:val="0"/>
          <w:sz w:val="28"/>
          <w:szCs w:val="28"/>
        </w:rPr>
        <w:t xml:space="preserve">ОКПД2 26.20.18 Поставка оргтехники (черно-</w:t>
      </w:r>
      <w:r>
        <w:rPr>
          <w:rFonts w:ascii="Times New Roman" w:hAnsi="Times New Roman" w:cs="Times New Roman"/>
          <w:b/>
          <w:bCs/>
          <w:i w:val="0"/>
          <w:sz w:val="28"/>
          <w:szCs w:val="28"/>
        </w:rPr>
      </w:r>
      <w:r>
        <w:rPr>
          <w:rFonts w:ascii="Times New Roman" w:hAnsi="Times New Roman" w:cs="Times New Roman"/>
          <w:b/>
          <w:bCs/>
          <w:i w:val="0"/>
          <w:sz w:val="28"/>
          <w:szCs w:val="28"/>
        </w:rPr>
      </w:r>
    </w:p>
    <w:p>
      <w:pPr>
        <w:pStyle w:val="1063"/>
        <w:ind w:left="-108" w:right="-108" w:firstLine="0"/>
        <w:jc w:val="center"/>
        <w:spacing w:before="11" w:after="11"/>
        <w:widowControl w:val="off"/>
        <w:rPr>
          <w:rFonts w:ascii="Times New Roman" w:hAnsi="Times New Roman" w:cs="Times New Roman"/>
          <w:b/>
          <w:bCs/>
          <w:i w:val="0"/>
          <w:sz w:val="28"/>
          <w:szCs w:val="28"/>
        </w:rPr>
      </w:pPr>
      <w:r>
        <w:rPr>
          <w:rFonts w:ascii="Times New Roman" w:hAnsi="Times New Roman" w:eastAsia="Times New Roman" w:cs="Times New Roman"/>
          <w:b/>
          <w:bCs/>
          <w:i w:val="0"/>
          <w:iCs w:val="0"/>
          <w:caps w:val="0"/>
          <w:smallCaps w:val="0"/>
          <w:color w:val="000000" w:themeColor="text1"/>
          <w:spacing w:val="0"/>
          <w:sz w:val="28"/>
          <w:szCs w:val="28"/>
        </w:rPr>
        <w:tab/>
        <w:t xml:space="preserve">белое МФУ А4), в количестве 26 шт. для нужд </w:t>
      </w:r>
      <w:r>
        <w:rPr>
          <w:rFonts w:ascii="Times New Roman" w:hAnsi="Times New Roman" w:eastAsia="Times New Roman" w:cs="Times New Roman"/>
          <w:b/>
          <w:bCs/>
          <w:i w:val="0"/>
          <w:iCs w:val="0"/>
          <w:caps w:val="0"/>
          <w:smallCaps w:val="0"/>
          <w:color w:val="000000" w:themeColor="text1"/>
          <w:spacing w:val="0"/>
          <w:sz w:val="28"/>
          <w:szCs w:val="28"/>
        </w:rPr>
        <w:t xml:space="preserve">Амурских тепловых сетей, в рамках </w:t>
      </w:r>
      <w:r>
        <w:rPr>
          <w:rFonts w:ascii="Times New Roman" w:hAnsi="Times New Roman" w:eastAsia="Times New Roman" w:cs="Times New Roman"/>
          <w:b/>
          <w:bCs/>
          <w:i w:val="0"/>
          <w:iCs w:val="0"/>
          <w:caps w:val="0"/>
          <w:smallCaps w:val="0"/>
          <w:color w:val="000000" w:themeColor="text1"/>
          <w:spacing w:val="0"/>
          <w:sz w:val="28"/>
          <w:szCs w:val="28"/>
        </w:rPr>
        <w:t xml:space="preserve">реализации инвестиционного проекта Q_505-</w:t>
      </w:r>
      <w:r>
        <w:rPr>
          <w:rFonts w:ascii="Times New Roman" w:hAnsi="Times New Roman" w:cs="Times New Roman"/>
          <w:b/>
          <w:bCs/>
          <w:i w:val="0"/>
          <w:sz w:val="28"/>
          <w:szCs w:val="28"/>
        </w:rPr>
      </w:r>
      <w:r>
        <w:rPr>
          <w:rFonts w:ascii="Times New Roman" w:hAnsi="Times New Roman" w:cs="Times New Roman"/>
          <w:b/>
          <w:bCs/>
          <w:i w:val="0"/>
          <w:sz w:val="28"/>
          <w:szCs w:val="28"/>
        </w:rPr>
      </w:r>
    </w:p>
    <w:p>
      <w:pPr>
        <w:pStyle w:val="1063"/>
        <w:ind w:left="-108" w:right="-108" w:firstLine="0"/>
        <w:jc w:val="center"/>
        <w:spacing w:before="11" w:after="11"/>
        <w:widowControl w:val="off"/>
        <w:rPr>
          <w:rFonts w:ascii="Times New Roman" w:hAnsi="Times New Roman" w:cs="Times New Roman"/>
          <w:color w:val="000000" w:themeColor="text1"/>
          <w:sz w:val="24"/>
          <w:szCs w:val="24"/>
        </w:rPr>
      </w:pPr>
      <w:r>
        <w:rPr>
          <w:rFonts w:ascii="Times New Roman" w:hAnsi="Times New Roman" w:eastAsia="Times New Roman" w:cs="Times New Roman"/>
          <w:b/>
          <w:bCs/>
          <w:i w:val="0"/>
          <w:iCs w:val="0"/>
          <w:caps w:val="0"/>
          <w:smallCaps w:val="0"/>
          <w:color w:val="000000" w:themeColor="text1"/>
          <w:spacing w:val="0"/>
          <w:sz w:val="28"/>
          <w:szCs w:val="28"/>
        </w:rPr>
        <w:tab/>
        <w:t xml:space="preserve">АТС-27-12, г. Благовещенск</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pStyle w:val="1073"/>
        <w:jc w:val="center"/>
        <w:keepNext/>
        <w:spacing w:before="240"/>
        <w:rPr>
          <w:rStyle w:val="1078"/>
          <w:rFonts w:ascii="Times New Roman" w:hAnsi="Times New Roman" w:cs="Times New Roman"/>
          <w:bCs w:val="0"/>
          <w:i w:val="0"/>
          <w:sz w:val="28"/>
          <w:szCs w:val="28"/>
        </w:rPr>
      </w:pPr>
      <w:r>
        <w:rPr>
          <w:rFonts w:ascii="Times New Roman" w:hAnsi="Times New Roman" w:eastAsia="Times New Roman" w:cs="Times New Roman"/>
          <w:i w:val="0"/>
          <w:iCs w:val="0"/>
          <w:sz w:val="28"/>
          <w:szCs w:val="28"/>
        </w:rPr>
      </w:r>
      <w:r>
        <w:rPr>
          <w:rStyle w:val="1078"/>
          <w:rFonts w:ascii="Times New Roman" w:hAnsi="Times New Roman" w:cs="Times New Roman"/>
          <w:bCs w:val="0"/>
          <w:i w:val="0"/>
          <w:sz w:val="28"/>
          <w:szCs w:val="28"/>
        </w:rPr>
      </w:r>
      <w:r>
        <w:rPr>
          <w:rStyle w:val="1078"/>
          <w:rFonts w:ascii="Times New Roman" w:hAnsi="Times New Roman" w:cs="Times New Roman"/>
          <w:bCs w:val="0"/>
          <w:i w:val="0"/>
          <w:sz w:val="28"/>
          <w:szCs w:val="28"/>
        </w:rPr>
      </w:r>
    </w:p>
    <w:p>
      <w:pPr>
        <w:ind w:left="-108" w:right="-108" w:firstLine="0"/>
        <w:jc w:val="center"/>
        <w:spacing w:before="11" w:after="11"/>
        <w:widowControl w:val="off"/>
        <w:rPr>
          <w:rFonts w:ascii="Times New Roman" w:hAnsi="Times New Roman" w:eastAsia="Times New Roman" w:cs="Times New Roman"/>
          <w:b w:val="0"/>
          <w:bCs w:val="0"/>
          <w:i w:val="0"/>
          <w:caps w:val="0"/>
          <w:smallCaps w:val="0"/>
          <w:color w:val="000000" w:themeColor="text1"/>
          <w:spacing w:val="0"/>
          <w:sz w:val="24"/>
          <w:szCs w:val="24"/>
          <w14:ligatures w14:val="none"/>
        </w:rPr>
      </w:pPr>
      <w:r>
        <w:rPr>
          <w:rFonts w:ascii="Times New Roman" w:hAnsi="Times New Roman" w:eastAsia="Times New Roman" w:cs="Times New Roman"/>
          <w:i w:val="0"/>
          <w:iCs w:val="0"/>
          <w:sz w:val="28"/>
          <w:szCs w:val="28"/>
        </w:rPr>
        <w:t xml:space="preserve">(</w:t>
      </w:r>
      <w:r>
        <w:rPr>
          <w:rFonts w:ascii="Times New Roman" w:hAnsi="Times New Roman" w:eastAsia="Times New Roman" w:cs="Times New Roman"/>
          <w:i w:val="0"/>
          <w:iCs w:val="0"/>
          <w:sz w:val="28"/>
          <w:szCs w:val="28"/>
        </w:rPr>
        <w:t xml:space="preserve">Л</w:t>
      </w:r>
      <w:r>
        <w:rPr>
          <w:rFonts w:ascii="Times New Roman" w:hAnsi="Times New Roman" w:eastAsia="Times New Roman" w:cs="Times New Roman"/>
          <w:i w:val="0"/>
          <w:iCs w:val="0"/>
          <w:sz w:val="28"/>
          <w:szCs w:val="28"/>
        </w:rPr>
        <w:t xml:space="preserve">от № </w:t>
      </w:r>
      <w:r>
        <w:rPr>
          <w:rFonts w:ascii="Times New Roman" w:hAnsi="Times New Roman" w:eastAsia="Times New Roman" w:cs="Times New Roman"/>
          <w:b w:val="0"/>
          <w:bCs w:val="0"/>
          <w:i w:val="0"/>
          <w:iCs w:val="0"/>
          <w:caps w:val="0"/>
          <w:smallCaps w:val="0"/>
          <w:color w:val="000000" w:themeColor="text1"/>
          <w:spacing w:val="0"/>
          <w:sz w:val="24"/>
          <w:szCs w:val="24"/>
        </w:rPr>
        <w:t xml:space="preserve">23207016-ТПИР ОНМ ИТ-2026-ДГК</w:t>
      </w:r>
      <w:r>
        <w:rPr>
          <w:rFonts w:ascii="Times New Roman" w:hAnsi="Times New Roman" w:eastAsia="Times New Roman" w:cs="Times New Roman"/>
          <w:i w:val="0"/>
          <w:iCs w:val="0"/>
          <w:sz w:val="28"/>
          <w:szCs w:val="28"/>
        </w:rPr>
        <w:t xml:space="preserve">)</w:t>
      </w:r>
      <w:r>
        <w:rPr>
          <w:rFonts w:ascii="Times New Roman" w:hAnsi="Times New Roman" w:eastAsia="Times New Roman" w:cs="Times New Roman"/>
          <w:b w:val="0"/>
          <w:bCs w:val="0"/>
          <w:i w:val="0"/>
          <w:caps w:val="0"/>
          <w:smallCaps w:val="0"/>
          <w:color w:val="000000" w:themeColor="text1"/>
          <w:spacing w:val="0"/>
          <w:sz w:val="24"/>
          <w:szCs w:val="24"/>
          <w14:ligatures w14:val="none"/>
        </w:rPr>
      </w:r>
      <w:r>
        <w:rPr>
          <w:rFonts w:ascii="Times New Roman" w:hAnsi="Times New Roman" w:eastAsia="Times New Roman" w:cs="Times New Roman"/>
          <w:b w:val="0"/>
          <w:bCs w:val="0"/>
          <w:i w:val="0"/>
          <w:caps w:val="0"/>
          <w:smallCaps w:val="0"/>
          <w:color w:val="000000" w:themeColor="text1"/>
          <w:spacing w:val="0"/>
          <w:sz w:val="24"/>
          <w:szCs w:val="24"/>
          <w14:ligatures w14:val="none"/>
        </w:rPr>
      </w:r>
    </w:p>
    <w:p>
      <w:pPr>
        <w:pStyle w:val="1073"/>
        <w:keepNext/>
        <w:rPr>
          <w:rFonts w:ascii="Times New Roman" w:hAnsi="Times New Roman" w:cs="Times New Roman"/>
          <w:bCs w:val="0"/>
          <w:i w:val="0"/>
          <w:sz w:val="28"/>
          <w:szCs w:val="28"/>
        </w:rPr>
      </w:pPr>
      <w:r>
        <w:rPr>
          <w:rFonts w:ascii="Times New Roman" w:hAnsi="Times New Roman" w:cs="Times New Roman"/>
          <w:bCs w:val="0"/>
          <w:i w:val="0"/>
          <w:sz w:val="28"/>
          <w:szCs w:val="28"/>
        </w:rPr>
      </w:r>
      <w:r>
        <w:rPr>
          <w:rFonts w:ascii="Times New Roman" w:hAnsi="Times New Roman" w:cs="Times New Roman"/>
          <w:bCs w:val="0"/>
          <w:i w:val="0"/>
          <w:sz w:val="28"/>
          <w:szCs w:val="28"/>
        </w:rPr>
      </w:r>
      <w:r>
        <w:rPr>
          <w:rFonts w:ascii="Times New Roman" w:hAnsi="Times New Roman" w:cs="Times New Roman"/>
          <w:bCs w:val="0"/>
          <w:i w:val="0"/>
          <w:sz w:val="28"/>
          <w:szCs w:val="28"/>
        </w:rPr>
      </w:r>
    </w:p>
    <w:p>
      <w:pPr>
        <w:pStyle w:val="1073"/>
        <w:keepNext/>
        <w:rPr>
          <w:rFonts w:ascii="Times New Roman" w:hAnsi="Times New Roman" w:cs="Times New Roman"/>
          <w:bCs w:val="0"/>
          <w:i w:val="0"/>
          <w:sz w:val="28"/>
          <w:szCs w:val="28"/>
        </w:rPr>
      </w:pPr>
      <w:r>
        <w:rPr>
          <w:rFonts w:ascii="Times New Roman" w:hAnsi="Times New Roman" w:cs="Times New Roman"/>
          <w:bCs w:val="0"/>
          <w:i w:val="0"/>
          <w:sz w:val="28"/>
          <w:szCs w:val="28"/>
        </w:rPr>
      </w:r>
      <w:r>
        <w:rPr>
          <w:rFonts w:ascii="Times New Roman" w:hAnsi="Times New Roman" w:cs="Times New Roman"/>
          <w:bCs w:val="0"/>
          <w:i w:val="0"/>
          <w:sz w:val="28"/>
          <w:szCs w:val="28"/>
        </w:rPr>
      </w:r>
      <w:r>
        <w:rPr>
          <w:rFonts w:ascii="Times New Roman" w:hAnsi="Times New Roman" w:cs="Times New Roman"/>
          <w:bCs w:val="0"/>
          <w:i w:val="0"/>
          <w:sz w:val="28"/>
          <w:szCs w:val="28"/>
        </w:rPr>
      </w:r>
    </w:p>
    <w:p>
      <w:pPr>
        <w:pStyle w:val="1073"/>
        <w:keepNext/>
        <w:rPr>
          <w:rFonts w:ascii="Times New Roman" w:hAnsi="Times New Roman" w:cs="Times New Roman"/>
          <w:bCs w:val="0"/>
          <w:i w:val="0"/>
          <w:sz w:val="28"/>
          <w:szCs w:val="28"/>
        </w:rPr>
      </w:pPr>
      <w:r>
        <w:rPr>
          <w:rFonts w:ascii="Times New Roman" w:hAnsi="Times New Roman" w:cs="Times New Roman"/>
          <w:bCs w:val="0"/>
          <w:i w:val="0"/>
          <w:sz w:val="28"/>
          <w:szCs w:val="28"/>
        </w:rPr>
      </w:r>
      <w:r>
        <w:rPr>
          <w:rFonts w:ascii="Times New Roman" w:hAnsi="Times New Roman" w:cs="Times New Roman"/>
          <w:bCs w:val="0"/>
          <w:i w:val="0"/>
          <w:sz w:val="28"/>
          <w:szCs w:val="28"/>
        </w:rPr>
      </w:r>
      <w:r>
        <w:rPr>
          <w:rFonts w:ascii="Times New Roman" w:hAnsi="Times New Roman" w:cs="Times New Roman"/>
          <w:bCs w:val="0"/>
          <w:i w:val="0"/>
          <w:sz w:val="28"/>
          <w:szCs w:val="28"/>
        </w:rPr>
      </w:r>
    </w:p>
    <w:p>
      <w:pPr>
        <w:pStyle w:val="1073"/>
        <w:keepNext/>
        <w:rPr>
          <w:rFonts w:ascii="Times New Roman" w:hAnsi="Times New Roman" w:cs="Times New Roman"/>
          <w:bCs w:val="0"/>
          <w:i w:val="0"/>
          <w:sz w:val="28"/>
          <w:szCs w:val="28"/>
        </w:rPr>
      </w:pPr>
      <w:r>
        <w:rPr>
          <w:rFonts w:ascii="Times New Roman" w:hAnsi="Times New Roman" w:cs="Times New Roman"/>
          <w:bCs w:val="0"/>
          <w:i w:val="0"/>
          <w:sz w:val="28"/>
          <w:szCs w:val="28"/>
        </w:rPr>
      </w:r>
      <w:r>
        <w:rPr>
          <w:rFonts w:ascii="Times New Roman" w:hAnsi="Times New Roman" w:cs="Times New Roman"/>
          <w:bCs w:val="0"/>
          <w:i w:val="0"/>
          <w:sz w:val="28"/>
          <w:szCs w:val="28"/>
        </w:rPr>
      </w:r>
      <w:r>
        <w:rPr>
          <w:rFonts w:ascii="Times New Roman" w:hAnsi="Times New Roman" w:cs="Times New Roman"/>
          <w:bCs w:val="0"/>
          <w:i w:val="0"/>
          <w:sz w:val="28"/>
          <w:szCs w:val="28"/>
        </w:rPr>
      </w:r>
    </w:p>
    <w:p>
      <w:pPr>
        <w:pStyle w:val="1073"/>
        <w:keepNext/>
        <w:rPr>
          <w:rFonts w:ascii="Times New Roman" w:hAnsi="Times New Roman" w:cs="Times New Roman"/>
          <w:bCs w:val="0"/>
          <w:i w:val="0"/>
          <w:sz w:val="28"/>
          <w:szCs w:val="28"/>
        </w:rPr>
      </w:pPr>
      <w:r>
        <w:rPr>
          <w:rFonts w:ascii="Times New Roman" w:hAnsi="Times New Roman" w:cs="Times New Roman"/>
          <w:bCs w:val="0"/>
          <w:i w:val="0"/>
          <w:sz w:val="28"/>
          <w:szCs w:val="28"/>
        </w:rPr>
      </w:r>
      <w:r>
        <w:rPr>
          <w:rFonts w:ascii="Times New Roman" w:hAnsi="Times New Roman" w:cs="Times New Roman"/>
          <w:bCs w:val="0"/>
          <w:i w:val="0"/>
          <w:sz w:val="28"/>
          <w:szCs w:val="28"/>
        </w:rPr>
      </w:r>
      <w:r>
        <w:rPr>
          <w:rFonts w:ascii="Times New Roman" w:hAnsi="Times New Roman" w:cs="Times New Roman"/>
          <w:bCs w:val="0"/>
          <w:i w:val="0"/>
          <w:sz w:val="28"/>
          <w:szCs w:val="28"/>
        </w:rPr>
      </w:r>
    </w:p>
    <w:p>
      <w:pPr>
        <w:pStyle w:val="1073"/>
        <w:keepNext/>
        <w:rPr>
          <w:rFonts w:ascii="Times New Roman" w:hAnsi="Times New Roman" w:cs="Times New Roman"/>
          <w:bCs w:val="0"/>
          <w:i w:val="0"/>
          <w:sz w:val="28"/>
          <w:szCs w:val="28"/>
        </w:rPr>
      </w:pPr>
      <w:r>
        <w:rPr>
          <w:rFonts w:ascii="Times New Roman" w:hAnsi="Times New Roman" w:cs="Times New Roman"/>
          <w:bCs w:val="0"/>
          <w:i w:val="0"/>
          <w:sz w:val="28"/>
          <w:szCs w:val="28"/>
        </w:rPr>
      </w:r>
      <w:r>
        <w:rPr>
          <w:rFonts w:ascii="Times New Roman" w:hAnsi="Times New Roman" w:cs="Times New Roman"/>
          <w:bCs w:val="0"/>
          <w:i w:val="0"/>
          <w:sz w:val="28"/>
          <w:szCs w:val="28"/>
        </w:rPr>
      </w:r>
      <w:r>
        <w:rPr>
          <w:rFonts w:ascii="Times New Roman" w:hAnsi="Times New Roman" w:cs="Times New Roman"/>
          <w:bCs w:val="0"/>
          <w:i w:val="0"/>
          <w:sz w:val="28"/>
          <w:szCs w:val="28"/>
        </w:rPr>
      </w:r>
    </w:p>
    <w:p>
      <w:pPr>
        <w:pStyle w:val="1073"/>
        <w:keepNext/>
        <w:rPr>
          <w:rFonts w:ascii="Times New Roman" w:hAnsi="Times New Roman" w:cs="Times New Roman"/>
          <w:bCs w:val="0"/>
          <w:i w:val="0"/>
          <w:sz w:val="28"/>
          <w:szCs w:val="28"/>
        </w:rPr>
      </w:pPr>
      <w:r>
        <w:rPr>
          <w:rFonts w:ascii="Times New Roman" w:hAnsi="Times New Roman" w:cs="Times New Roman"/>
          <w:bCs w:val="0"/>
          <w:i w:val="0"/>
          <w:sz w:val="28"/>
          <w:szCs w:val="28"/>
        </w:rPr>
      </w:r>
      <w:r>
        <w:rPr>
          <w:rFonts w:ascii="Times New Roman" w:hAnsi="Times New Roman" w:cs="Times New Roman"/>
          <w:bCs w:val="0"/>
          <w:i w:val="0"/>
          <w:sz w:val="28"/>
          <w:szCs w:val="28"/>
        </w:rPr>
      </w:r>
      <w:r>
        <w:rPr>
          <w:rFonts w:ascii="Times New Roman" w:hAnsi="Times New Roman" w:cs="Times New Roman"/>
          <w:bCs w:val="0"/>
          <w:i w:val="0"/>
          <w:sz w:val="28"/>
          <w:szCs w:val="28"/>
        </w:rPr>
      </w:r>
    </w:p>
    <w:p>
      <w:pPr>
        <w:pStyle w:val="1073"/>
        <w:keepNext/>
        <w:rPr>
          <w:rFonts w:ascii="Times New Roman" w:hAnsi="Times New Roman" w:cs="Times New Roman"/>
          <w:bCs w:val="0"/>
          <w:i w:val="0"/>
          <w:sz w:val="28"/>
          <w:szCs w:val="28"/>
        </w:rPr>
      </w:pPr>
      <w:r>
        <w:rPr>
          <w:rFonts w:ascii="Times New Roman" w:hAnsi="Times New Roman" w:cs="Times New Roman"/>
          <w:bCs w:val="0"/>
          <w:i w:val="0"/>
          <w:sz w:val="28"/>
          <w:szCs w:val="28"/>
        </w:rPr>
      </w:r>
      <w:r>
        <w:rPr>
          <w:rFonts w:ascii="Times New Roman" w:hAnsi="Times New Roman" w:cs="Times New Roman"/>
          <w:bCs w:val="0"/>
          <w:i w:val="0"/>
          <w:sz w:val="28"/>
          <w:szCs w:val="28"/>
        </w:rPr>
      </w:r>
      <w:r>
        <w:rPr>
          <w:rFonts w:ascii="Times New Roman" w:hAnsi="Times New Roman" w:cs="Times New Roman"/>
          <w:bCs w:val="0"/>
          <w:i w:val="0"/>
          <w:sz w:val="28"/>
          <w:szCs w:val="28"/>
        </w:rPr>
      </w:r>
    </w:p>
    <w:p>
      <w:pPr>
        <w:pStyle w:val="1073"/>
        <w:keepNext/>
        <w:rPr>
          <w:rFonts w:ascii="Times New Roman" w:hAnsi="Times New Roman" w:cs="Times New Roman"/>
          <w:bCs w:val="0"/>
          <w:i w:val="0"/>
          <w:sz w:val="28"/>
          <w:szCs w:val="28"/>
        </w:rPr>
      </w:pPr>
      <w:r>
        <w:rPr>
          <w:rFonts w:ascii="Times New Roman" w:hAnsi="Times New Roman" w:cs="Times New Roman"/>
          <w:bCs w:val="0"/>
          <w:i w:val="0"/>
          <w:sz w:val="28"/>
          <w:szCs w:val="28"/>
        </w:rPr>
      </w:r>
      <w:r>
        <w:rPr>
          <w:rFonts w:ascii="Times New Roman" w:hAnsi="Times New Roman" w:cs="Times New Roman"/>
          <w:bCs w:val="0"/>
          <w:i w:val="0"/>
          <w:sz w:val="28"/>
          <w:szCs w:val="28"/>
        </w:rPr>
      </w:r>
      <w:r>
        <w:rPr>
          <w:rFonts w:ascii="Times New Roman" w:hAnsi="Times New Roman" w:cs="Times New Roman"/>
          <w:bCs w:val="0"/>
          <w:i w:val="0"/>
          <w:sz w:val="28"/>
          <w:szCs w:val="28"/>
        </w:rPr>
      </w:r>
    </w:p>
    <w:p>
      <w:pPr>
        <w:contextualSpacing/>
        <w:ind w:left="34" w:hanging="11"/>
        <w:jc w:val="center"/>
        <w:spacing w:before="0"/>
        <w:rPr>
          <w:b/>
          <w:bCs/>
          <w:sz w:val="28"/>
          <w:szCs w:val="28"/>
          <w:highlight w:val="none"/>
        </w:rPr>
      </w:pPr>
      <w:r>
        <w:rPr>
          <w:b/>
          <w:sz w:val="28"/>
          <w:szCs w:val="24"/>
          <w:highlight w:val="none"/>
        </w:rPr>
      </w:r>
      <w:r>
        <w:rPr>
          <w:b/>
          <w:bCs/>
          <w:sz w:val="28"/>
          <w:szCs w:val="28"/>
          <w:highlight w:val="none"/>
        </w:rPr>
      </w:r>
      <w:r>
        <w:rPr>
          <w:b/>
          <w:bCs/>
          <w:sz w:val="28"/>
          <w:szCs w:val="28"/>
          <w:highlight w:val="none"/>
        </w:rPr>
      </w:r>
    </w:p>
    <w:p>
      <w:pPr>
        <w:pStyle w:val="1072"/>
        <w:outlineLvl w:val="2"/>
      </w:pPr>
      <w:r>
        <w:t xml:space="preserve">Содержание</w:t>
      </w:r>
      <w:r/>
    </w:p>
    <w:p>
      <w:pPr>
        <w:pStyle w:val="1086"/>
        <w:rPr>
          <w:rFonts w:asciiTheme="minorHAnsi" w:hAnsiTheme="minorHAnsi" w:eastAsiaTheme="minorEastAsia"/>
          <w:b w:val="0"/>
          <w:caps w:val="0"/>
          <w:sz w:val="24"/>
          <w:szCs w:val="24"/>
          <w:lang w:eastAsia="ru-RU"/>
          <w14:ligatures w14:val="standardContextual"/>
        </w:rPr>
      </w:pPr>
      <w:r>
        <w:fldChar w:fldCharType="begin"/>
      </w:r>
      <w:r>
        <w:instrText xml:space="preserve"> TOC \o "1-2" \h \z \u </w:instrText>
      </w:r>
      <w:r>
        <w:fldChar w:fldCharType="separate"/>
      </w:r>
      <w:hyperlink w:tooltip="#_Toc224744282" w:anchor="_Toc224744282" w:history="1">
        <w:r>
          <w:rPr>
            <w:rStyle w:val="1083"/>
          </w:rPr>
          <w:t xml:space="preserve">Сокращения</w:t>
        </w:r>
        <w:r>
          <w:tab/>
        </w:r>
        <w:r>
          <w:fldChar w:fldCharType="begin"/>
        </w:r>
        <w:r>
          <w:instrText xml:space="preserve"> PAGEREF _Toc224744282 \h </w:instrText>
        </w:r>
        <w:r>
          <w:fldChar w:fldCharType="separate"/>
        </w:r>
        <w:r>
          <w:t xml:space="preserve">6</w:t>
        </w:r>
        <w:r>
          <w:fldChar w:fldCharType="end"/>
        </w:r>
      </w:hyperlink>
      <w:r>
        <w:rPr>
          <w:rFonts w:asciiTheme="minorHAnsi" w:hAnsiTheme="minorHAnsi" w:eastAsiaTheme="minorEastAsia"/>
          <w:b w:val="0"/>
          <w:caps w:val="0"/>
          <w:sz w:val="24"/>
          <w:szCs w:val="24"/>
          <w:lang w:eastAsia="ru-RU"/>
          <w14:ligatures w14:val="standardContextual"/>
        </w:rPr>
      </w:r>
      <w:r>
        <w:rPr>
          <w:rFonts w:asciiTheme="minorHAnsi" w:hAnsiTheme="minorHAnsi" w:eastAsiaTheme="minorEastAsia"/>
          <w:b w:val="0"/>
          <w:caps w:val="0"/>
          <w:sz w:val="24"/>
          <w:szCs w:val="24"/>
          <w:lang w:eastAsia="ru-RU"/>
          <w14:ligatures w14:val="standardContextual"/>
        </w:rPr>
      </w:r>
    </w:p>
    <w:p>
      <w:pPr>
        <w:pStyle w:val="1086"/>
        <w:rPr>
          <w:rFonts w:asciiTheme="minorHAnsi" w:hAnsiTheme="minorHAnsi" w:eastAsiaTheme="minorEastAsia"/>
          <w:b w:val="0"/>
          <w:caps w:val="0"/>
          <w:sz w:val="24"/>
          <w:szCs w:val="24"/>
          <w:lang w:eastAsia="ru-RU"/>
          <w14:ligatures w14:val="standardContextual"/>
        </w:rPr>
      </w:pPr>
      <w:r/>
      <w:hyperlink w:tooltip="#_Toc224744283" w:anchor="_Toc224744283" w:history="1">
        <w:r>
          <w:rPr>
            <w:rStyle w:val="1083"/>
          </w:rPr>
          <w:t xml:space="preserve">Термины и определения</w:t>
        </w:r>
        <w:r>
          <w:tab/>
        </w:r>
        <w:r>
          <w:fldChar w:fldCharType="begin"/>
        </w:r>
        <w:r>
          <w:instrText xml:space="preserve"> PAGEREF _Toc224744283 \h </w:instrText>
        </w:r>
        <w:r>
          <w:fldChar w:fldCharType="separate"/>
        </w:r>
        <w:r>
          <w:t xml:space="preserve">8</w:t>
        </w:r>
        <w:r>
          <w:fldChar w:fldCharType="end"/>
        </w:r>
      </w:hyperlink>
      <w:r>
        <w:rPr>
          <w:rFonts w:asciiTheme="minorHAnsi" w:hAnsiTheme="minorHAnsi" w:eastAsiaTheme="minorEastAsia"/>
          <w:b w:val="0"/>
          <w:caps w:val="0"/>
          <w:sz w:val="24"/>
          <w:szCs w:val="24"/>
          <w:lang w:eastAsia="ru-RU"/>
          <w14:ligatures w14:val="standardContextual"/>
        </w:rPr>
      </w:r>
      <w:r>
        <w:rPr>
          <w:rFonts w:asciiTheme="minorHAnsi" w:hAnsiTheme="minorHAnsi" w:eastAsiaTheme="minorEastAsia"/>
          <w:b w:val="0"/>
          <w:caps w:val="0"/>
          <w:sz w:val="24"/>
          <w:szCs w:val="24"/>
          <w:lang w:eastAsia="ru-RU"/>
          <w14:ligatures w14:val="standardContextual"/>
        </w:rPr>
      </w:r>
    </w:p>
    <w:p>
      <w:pPr>
        <w:pStyle w:val="1086"/>
        <w:rPr>
          <w:rFonts w:asciiTheme="minorHAnsi" w:hAnsiTheme="minorHAnsi" w:eastAsiaTheme="minorEastAsia"/>
          <w:b w:val="0"/>
          <w:caps w:val="0"/>
          <w:sz w:val="24"/>
          <w:szCs w:val="24"/>
          <w:lang w:eastAsia="ru-RU"/>
          <w14:ligatures w14:val="standardContextual"/>
        </w:rPr>
      </w:pPr>
      <w:r/>
      <w:hyperlink w:tooltip="#_Toc224744284" w:anchor="_Toc224744284" w:history="1">
        <w:r>
          <w:rPr>
            <w:rStyle w:val="1083"/>
          </w:rPr>
          <w:t xml:space="preserve">1.</w:t>
        </w:r>
        <w:r>
          <w:rPr>
            <w:rFonts w:asciiTheme="minorHAnsi" w:hAnsiTheme="minorHAnsi" w:eastAsiaTheme="minorEastAsia"/>
            <w:b w:val="0"/>
            <w:caps w:val="0"/>
            <w:sz w:val="24"/>
            <w:szCs w:val="24"/>
            <w:lang w:eastAsia="ru-RU"/>
            <w14:ligatures w14:val="standardContextual"/>
          </w:rPr>
          <w:tab/>
        </w:r>
        <w:r>
          <w:rPr>
            <w:rStyle w:val="1083"/>
          </w:rPr>
          <w:t xml:space="preserve">Основные сведения о закупке</w:t>
        </w:r>
        <w:r>
          <w:tab/>
        </w:r>
        <w:r>
          <w:fldChar w:fldCharType="begin"/>
        </w:r>
        <w:r>
          <w:instrText xml:space="preserve"> PAGEREF _Toc224744284 \h </w:instrText>
        </w:r>
        <w:r>
          <w:fldChar w:fldCharType="separate"/>
        </w:r>
        <w:r>
          <w:t xml:space="preserve">12</w:t>
        </w:r>
        <w:r>
          <w:fldChar w:fldCharType="end"/>
        </w:r>
      </w:hyperlink>
      <w:r>
        <w:rPr>
          <w:rFonts w:asciiTheme="minorHAnsi" w:hAnsiTheme="minorHAnsi" w:eastAsiaTheme="minorEastAsia"/>
          <w:b w:val="0"/>
          <w:caps w:val="0"/>
          <w:sz w:val="24"/>
          <w:szCs w:val="24"/>
          <w:lang w:eastAsia="ru-RU"/>
          <w14:ligatures w14:val="standardContextual"/>
        </w:rPr>
      </w:r>
      <w:r>
        <w:rPr>
          <w:rFonts w:asciiTheme="minorHAnsi" w:hAnsiTheme="minorHAnsi" w:eastAsiaTheme="minorEastAsia"/>
          <w:b w:val="0"/>
          <w:caps w:val="0"/>
          <w:sz w:val="24"/>
          <w:szCs w:val="24"/>
          <w:lang w:eastAsia="ru-RU"/>
          <w14:ligatures w14:val="standardContextual"/>
        </w:rPr>
      </w:r>
    </w:p>
    <w:p>
      <w:pPr>
        <w:pStyle w:val="1085"/>
        <w:rPr>
          <w:rFonts w:asciiTheme="minorHAnsi" w:hAnsiTheme="minorHAnsi" w:eastAsiaTheme="minorEastAsia"/>
          <w:sz w:val="24"/>
          <w:szCs w:val="24"/>
          <w:lang w:eastAsia="ru-RU"/>
          <w14:ligatures w14:val="standardContextual"/>
        </w:rPr>
      </w:pPr>
      <w:r/>
      <w:hyperlink w:tooltip="#_Toc224744285" w:anchor="_Toc224744285" w:history="1">
        <w:r>
          <w:rPr>
            <w:rStyle w:val="1083"/>
          </w:rPr>
          <w:t xml:space="preserve">1.1</w:t>
        </w:r>
        <w:r>
          <w:rPr>
            <w:rFonts w:asciiTheme="minorHAnsi" w:hAnsiTheme="minorHAnsi" w:eastAsiaTheme="minorEastAsia"/>
            <w:sz w:val="24"/>
            <w:szCs w:val="24"/>
            <w:lang w:eastAsia="ru-RU"/>
            <w14:ligatures w14:val="standardContextual"/>
          </w:rPr>
          <w:tab/>
        </w:r>
        <w:r>
          <w:rPr>
            <w:rStyle w:val="1083"/>
          </w:rPr>
          <w:t xml:space="preserve">Статус настоящего раздела</w:t>
        </w:r>
        <w:r>
          <w:tab/>
        </w:r>
        <w:r>
          <w:fldChar w:fldCharType="begin"/>
        </w:r>
        <w:r>
          <w:instrText xml:space="preserve"> PAGEREF _Toc224744285 \h </w:instrText>
        </w:r>
        <w:r>
          <w:fldChar w:fldCharType="separate"/>
        </w:r>
        <w:r>
          <w:t xml:space="preserve">12</w:t>
        </w:r>
        <w:r>
          <w:fldChar w:fldCharType="end"/>
        </w:r>
      </w:hyperlink>
      <w:r>
        <w:rPr>
          <w:rFonts w:asciiTheme="minorHAnsi" w:hAnsiTheme="minorHAnsi" w:eastAsiaTheme="minorEastAsia"/>
          <w:sz w:val="24"/>
          <w:szCs w:val="24"/>
          <w:lang w:eastAsia="ru-RU"/>
          <w14:ligatures w14:val="standardContextual"/>
        </w:rPr>
      </w:r>
      <w:r>
        <w:rPr>
          <w:rFonts w:asciiTheme="minorHAnsi" w:hAnsiTheme="minorHAnsi" w:eastAsiaTheme="minorEastAsia"/>
          <w:sz w:val="24"/>
          <w:szCs w:val="24"/>
          <w:lang w:eastAsia="ru-RU"/>
          <w14:ligatures w14:val="standardContextual"/>
        </w:rPr>
      </w:r>
    </w:p>
    <w:p>
      <w:pPr>
        <w:pStyle w:val="1085"/>
        <w:rPr>
          <w:rFonts w:asciiTheme="minorHAnsi" w:hAnsiTheme="minorHAnsi" w:eastAsiaTheme="minorEastAsia"/>
          <w:sz w:val="24"/>
          <w:szCs w:val="24"/>
          <w:lang w:eastAsia="ru-RU"/>
          <w14:ligatures w14:val="standardContextual"/>
        </w:rPr>
      </w:pPr>
      <w:r/>
      <w:hyperlink w:tooltip="#_Toc224744286" w:anchor="_Toc224744286" w:history="1">
        <w:r>
          <w:rPr>
            <w:rStyle w:val="1083"/>
          </w:rPr>
          <w:t xml:space="preserve">1.2</w:t>
        </w:r>
        <w:r>
          <w:rPr>
            <w:rFonts w:asciiTheme="minorHAnsi" w:hAnsiTheme="minorHAnsi" w:eastAsiaTheme="minorEastAsia"/>
            <w:sz w:val="24"/>
            <w:szCs w:val="24"/>
            <w:lang w:eastAsia="ru-RU"/>
            <w14:ligatures w14:val="standardContextual"/>
          </w:rPr>
          <w:tab/>
        </w:r>
        <w:r>
          <w:rPr>
            <w:rStyle w:val="1083"/>
          </w:rPr>
          <w:t xml:space="preserve">Информация о проводимой закупке</w:t>
        </w:r>
        <w:r>
          <w:tab/>
        </w:r>
        <w:r>
          <w:fldChar w:fldCharType="begin"/>
        </w:r>
        <w:r>
          <w:instrText xml:space="preserve"> PAGEREF _Toc224744286 \h </w:instrText>
        </w:r>
        <w:r>
          <w:fldChar w:fldCharType="separate"/>
        </w:r>
        <w:r>
          <w:t xml:space="preserve">12</w:t>
        </w:r>
        <w:r>
          <w:fldChar w:fldCharType="end"/>
        </w:r>
      </w:hyperlink>
      <w:r>
        <w:rPr>
          <w:rFonts w:asciiTheme="minorHAnsi" w:hAnsiTheme="minorHAnsi" w:eastAsiaTheme="minorEastAsia"/>
          <w:sz w:val="24"/>
          <w:szCs w:val="24"/>
          <w:lang w:eastAsia="ru-RU"/>
          <w14:ligatures w14:val="standardContextual"/>
        </w:rPr>
      </w:r>
      <w:r>
        <w:rPr>
          <w:rFonts w:asciiTheme="minorHAnsi" w:hAnsiTheme="minorHAnsi" w:eastAsiaTheme="minorEastAsia"/>
          <w:sz w:val="24"/>
          <w:szCs w:val="24"/>
          <w:lang w:eastAsia="ru-RU"/>
          <w14:ligatures w14:val="standardContextual"/>
        </w:rPr>
      </w:r>
    </w:p>
    <w:p>
      <w:pPr>
        <w:pStyle w:val="1086"/>
        <w:rPr>
          <w:rFonts w:asciiTheme="minorHAnsi" w:hAnsiTheme="minorHAnsi" w:eastAsiaTheme="minorEastAsia"/>
          <w:b w:val="0"/>
          <w:caps w:val="0"/>
          <w:sz w:val="24"/>
          <w:szCs w:val="24"/>
          <w:lang w:eastAsia="ru-RU"/>
          <w14:ligatures w14:val="standardContextual"/>
        </w:rPr>
      </w:pPr>
      <w:r/>
      <w:hyperlink w:tooltip="#_Toc224744287" w:anchor="_Toc224744287" w:history="1">
        <w:r>
          <w:rPr>
            <w:rStyle w:val="1083"/>
          </w:rPr>
          <w:t xml:space="preserve">2.</w:t>
        </w:r>
        <w:r>
          <w:rPr>
            <w:rFonts w:asciiTheme="minorHAnsi" w:hAnsiTheme="minorHAnsi" w:eastAsiaTheme="minorEastAsia"/>
            <w:b w:val="0"/>
            <w:caps w:val="0"/>
            <w:sz w:val="24"/>
            <w:szCs w:val="24"/>
            <w:lang w:eastAsia="ru-RU"/>
            <w14:ligatures w14:val="standardContextual"/>
          </w:rPr>
          <w:tab/>
        </w:r>
        <w:r>
          <w:rPr>
            <w:rStyle w:val="1083"/>
          </w:rPr>
          <w:t xml:space="preserve">Общие положения</w:t>
        </w:r>
        <w:r>
          <w:tab/>
        </w:r>
        <w:r>
          <w:fldChar w:fldCharType="begin"/>
        </w:r>
        <w:r>
          <w:instrText xml:space="preserve"> PAGEREF _Toc224744287 \h </w:instrText>
        </w:r>
        <w:r>
          <w:fldChar w:fldCharType="separate"/>
        </w:r>
        <w:r>
          <w:t xml:space="preserve">24</w:t>
        </w:r>
        <w:r>
          <w:fldChar w:fldCharType="end"/>
        </w:r>
      </w:hyperlink>
      <w:r>
        <w:rPr>
          <w:rFonts w:asciiTheme="minorHAnsi" w:hAnsiTheme="minorHAnsi" w:eastAsiaTheme="minorEastAsia"/>
          <w:b w:val="0"/>
          <w:caps w:val="0"/>
          <w:sz w:val="24"/>
          <w:szCs w:val="24"/>
          <w:lang w:eastAsia="ru-RU"/>
          <w14:ligatures w14:val="standardContextual"/>
        </w:rPr>
      </w:r>
      <w:r>
        <w:rPr>
          <w:rFonts w:asciiTheme="minorHAnsi" w:hAnsiTheme="minorHAnsi" w:eastAsiaTheme="minorEastAsia"/>
          <w:b w:val="0"/>
          <w:caps w:val="0"/>
          <w:sz w:val="24"/>
          <w:szCs w:val="24"/>
          <w:lang w:eastAsia="ru-RU"/>
          <w14:ligatures w14:val="standardContextual"/>
        </w:rPr>
      </w:r>
    </w:p>
    <w:p>
      <w:pPr>
        <w:pStyle w:val="1085"/>
        <w:rPr>
          <w:rFonts w:asciiTheme="minorHAnsi" w:hAnsiTheme="minorHAnsi" w:eastAsiaTheme="minorEastAsia"/>
          <w:sz w:val="24"/>
          <w:szCs w:val="24"/>
          <w:lang w:eastAsia="ru-RU"/>
          <w14:ligatures w14:val="standardContextual"/>
        </w:rPr>
      </w:pPr>
      <w:r/>
      <w:hyperlink w:tooltip="#_Toc224744288" w:anchor="_Toc224744288" w:history="1">
        <w:r>
          <w:rPr>
            <w:rStyle w:val="1083"/>
          </w:rPr>
          <w:t xml:space="preserve">2.1</w:t>
        </w:r>
        <w:r>
          <w:rPr>
            <w:rFonts w:asciiTheme="minorHAnsi" w:hAnsiTheme="minorHAnsi" w:eastAsiaTheme="minorEastAsia"/>
            <w:sz w:val="24"/>
            <w:szCs w:val="24"/>
            <w:lang w:eastAsia="ru-RU"/>
            <w14:ligatures w14:val="standardContextual"/>
          </w:rPr>
          <w:tab/>
        </w:r>
        <w:r>
          <w:rPr>
            <w:rStyle w:val="1083"/>
          </w:rPr>
          <w:t xml:space="preserve">Общие сведения о закупке</w:t>
        </w:r>
        <w:r>
          <w:tab/>
        </w:r>
        <w:r>
          <w:fldChar w:fldCharType="begin"/>
        </w:r>
        <w:r>
          <w:instrText xml:space="preserve"> PAGEREF _Toc224744288 \h </w:instrText>
        </w:r>
        <w:r>
          <w:fldChar w:fldCharType="separate"/>
        </w:r>
        <w:r>
          <w:t xml:space="preserve">24</w:t>
        </w:r>
        <w:r>
          <w:fldChar w:fldCharType="end"/>
        </w:r>
      </w:hyperlink>
      <w:r>
        <w:rPr>
          <w:rFonts w:asciiTheme="minorHAnsi" w:hAnsiTheme="minorHAnsi" w:eastAsiaTheme="minorEastAsia"/>
          <w:sz w:val="24"/>
          <w:szCs w:val="24"/>
          <w:lang w:eastAsia="ru-RU"/>
          <w14:ligatures w14:val="standardContextual"/>
        </w:rPr>
      </w:r>
      <w:r>
        <w:rPr>
          <w:rFonts w:asciiTheme="minorHAnsi" w:hAnsiTheme="minorHAnsi" w:eastAsiaTheme="minorEastAsia"/>
          <w:sz w:val="24"/>
          <w:szCs w:val="24"/>
          <w:lang w:eastAsia="ru-RU"/>
          <w14:ligatures w14:val="standardContextual"/>
        </w:rPr>
      </w:r>
    </w:p>
    <w:p>
      <w:pPr>
        <w:pStyle w:val="1085"/>
        <w:rPr>
          <w:rFonts w:asciiTheme="minorHAnsi" w:hAnsiTheme="minorHAnsi" w:eastAsiaTheme="minorEastAsia"/>
          <w:sz w:val="24"/>
          <w:szCs w:val="24"/>
          <w:lang w:eastAsia="ru-RU"/>
          <w14:ligatures w14:val="standardContextual"/>
        </w:rPr>
      </w:pPr>
      <w:r/>
      <w:hyperlink w:tooltip="#_Toc224744289" w:anchor="_Toc224744289" w:history="1">
        <w:r>
          <w:rPr>
            <w:rStyle w:val="1083"/>
          </w:rPr>
          <w:t xml:space="preserve">2.2</w:t>
        </w:r>
        <w:r>
          <w:rPr>
            <w:rFonts w:asciiTheme="minorHAnsi" w:hAnsiTheme="minorHAnsi" w:eastAsiaTheme="minorEastAsia"/>
            <w:sz w:val="24"/>
            <w:szCs w:val="24"/>
            <w:lang w:eastAsia="ru-RU"/>
            <w14:ligatures w14:val="standardContextual"/>
          </w:rPr>
          <w:tab/>
        </w:r>
        <w:r>
          <w:rPr>
            <w:rStyle w:val="1083"/>
          </w:rPr>
          <w:t xml:space="preserve">Правовой статус документов</w:t>
        </w:r>
        <w:r>
          <w:tab/>
        </w:r>
        <w:r>
          <w:fldChar w:fldCharType="begin"/>
        </w:r>
        <w:r>
          <w:instrText xml:space="preserve"> PAGEREF _Toc224744289 \h </w:instrText>
        </w:r>
        <w:r>
          <w:fldChar w:fldCharType="separate"/>
        </w:r>
        <w:r>
          <w:t xml:space="preserve">24</w:t>
        </w:r>
        <w:r>
          <w:fldChar w:fldCharType="end"/>
        </w:r>
      </w:hyperlink>
      <w:r>
        <w:rPr>
          <w:rFonts w:asciiTheme="minorHAnsi" w:hAnsiTheme="minorHAnsi" w:eastAsiaTheme="minorEastAsia"/>
          <w:sz w:val="24"/>
          <w:szCs w:val="24"/>
          <w:lang w:eastAsia="ru-RU"/>
          <w14:ligatures w14:val="standardContextual"/>
        </w:rPr>
      </w:r>
      <w:r>
        <w:rPr>
          <w:rFonts w:asciiTheme="minorHAnsi" w:hAnsiTheme="minorHAnsi" w:eastAsiaTheme="minorEastAsia"/>
          <w:sz w:val="24"/>
          <w:szCs w:val="24"/>
          <w:lang w:eastAsia="ru-RU"/>
          <w14:ligatures w14:val="standardContextual"/>
        </w:rPr>
      </w:r>
    </w:p>
    <w:p>
      <w:pPr>
        <w:pStyle w:val="1085"/>
        <w:rPr>
          <w:rFonts w:asciiTheme="minorHAnsi" w:hAnsiTheme="minorHAnsi" w:eastAsiaTheme="minorEastAsia"/>
          <w:sz w:val="24"/>
          <w:szCs w:val="24"/>
          <w:lang w:eastAsia="ru-RU"/>
          <w14:ligatures w14:val="standardContextual"/>
        </w:rPr>
      </w:pPr>
      <w:r/>
      <w:hyperlink w:tooltip="#_Toc224744290" w:anchor="_Toc224744290" w:history="1">
        <w:r>
          <w:rPr>
            <w:rStyle w:val="1083"/>
          </w:rPr>
          <w:t xml:space="preserve">2.3</w:t>
        </w:r>
        <w:r>
          <w:rPr>
            <w:rFonts w:asciiTheme="minorHAnsi" w:hAnsiTheme="minorHAnsi" w:eastAsiaTheme="minorEastAsia"/>
            <w:sz w:val="24"/>
            <w:szCs w:val="24"/>
            <w:lang w:eastAsia="ru-RU"/>
            <w14:ligatures w14:val="standardContextual"/>
          </w:rPr>
          <w:tab/>
        </w:r>
        <w:r>
          <w:rPr>
            <w:rStyle w:val="1083"/>
          </w:rPr>
          <w:t xml:space="preserve">Обжалование</w:t>
        </w:r>
        <w:r>
          <w:tab/>
        </w:r>
        <w:r>
          <w:fldChar w:fldCharType="begin"/>
        </w:r>
        <w:r>
          <w:instrText xml:space="preserve"> PAGEREF _Toc224744290 \h </w:instrText>
        </w:r>
        <w:r>
          <w:fldChar w:fldCharType="separate"/>
        </w:r>
        <w:r>
          <w:t xml:space="preserve">25</w:t>
        </w:r>
        <w:r>
          <w:fldChar w:fldCharType="end"/>
        </w:r>
      </w:hyperlink>
      <w:r>
        <w:rPr>
          <w:rFonts w:asciiTheme="minorHAnsi" w:hAnsiTheme="minorHAnsi" w:eastAsiaTheme="minorEastAsia"/>
          <w:sz w:val="24"/>
          <w:szCs w:val="24"/>
          <w:lang w:eastAsia="ru-RU"/>
          <w14:ligatures w14:val="standardContextual"/>
        </w:rPr>
      </w:r>
      <w:r>
        <w:rPr>
          <w:rFonts w:asciiTheme="minorHAnsi" w:hAnsiTheme="minorHAnsi" w:eastAsiaTheme="minorEastAsia"/>
          <w:sz w:val="24"/>
          <w:szCs w:val="24"/>
          <w:lang w:eastAsia="ru-RU"/>
          <w14:ligatures w14:val="standardContextual"/>
        </w:rPr>
      </w:r>
    </w:p>
    <w:p>
      <w:pPr>
        <w:pStyle w:val="1085"/>
        <w:rPr>
          <w:rFonts w:asciiTheme="minorHAnsi" w:hAnsiTheme="minorHAnsi" w:eastAsiaTheme="minorEastAsia"/>
          <w:sz w:val="24"/>
          <w:szCs w:val="24"/>
          <w:lang w:eastAsia="ru-RU"/>
          <w14:ligatures w14:val="standardContextual"/>
        </w:rPr>
      </w:pPr>
      <w:r/>
      <w:hyperlink w:tooltip="#_Toc224744291" w:anchor="_Toc224744291" w:history="1">
        <w:r>
          <w:rPr>
            <w:rStyle w:val="1083"/>
          </w:rPr>
          <w:t xml:space="preserve">2.4</w:t>
        </w:r>
        <w:r>
          <w:rPr>
            <w:rFonts w:asciiTheme="minorHAnsi" w:hAnsiTheme="minorHAnsi" w:eastAsiaTheme="minorEastAsia"/>
            <w:sz w:val="24"/>
            <w:szCs w:val="24"/>
            <w:lang w:eastAsia="ru-RU"/>
            <w14:ligatures w14:val="standardContextual"/>
          </w:rPr>
          <w:tab/>
        </w:r>
        <w:r>
          <w:rPr>
            <w:rStyle w:val="1083"/>
          </w:rPr>
          <w:t xml:space="preserve">Особые положения при проведении закупки с использованием ЭП</w:t>
        </w:r>
        <w:r>
          <w:tab/>
        </w:r>
        <w:r>
          <w:fldChar w:fldCharType="begin"/>
        </w:r>
        <w:r>
          <w:instrText xml:space="preserve"> PAGEREF _Toc224744291 \h </w:instrText>
        </w:r>
        <w:r>
          <w:fldChar w:fldCharType="separate"/>
        </w:r>
        <w:r>
          <w:t xml:space="preserve">26</w:t>
        </w:r>
        <w:r>
          <w:fldChar w:fldCharType="end"/>
        </w:r>
      </w:hyperlink>
      <w:r>
        <w:rPr>
          <w:rFonts w:asciiTheme="minorHAnsi" w:hAnsiTheme="minorHAnsi" w:eastAsiaTheme="minorEastAsia"/>
          <w:sz w:val="24"/>
          <w:szCs w:val="24"/>
          <w:lang w:eastAsia="ru-RU"/>
          <w14:ligatures w14:val="standardContextual"/>
        </w:rPr>
      </w:r>
      <w:r>
        <w:rPr>
          <w:rFonts w:asciiTheme="minorHAnsi" w:hAnsiTheme="minorHAnsi" w:eastAsiaTheme="minorEastAsia"/>
          <w:sz w:val="24"/>
          <w:szCs w:val="24"/>
          <w:lang w:eastAsia="ru-RU"/>
          <w14:ligatures w14:val="standardContextual"/>
        </w:rPr>
      </w:r>
    </w:p>
    <w:p>
      <w:pPr>
        <w:pStyle w:val="1085"/>
        <w:rPr>
          <w:rFonts w:asciiTheme="minorHAnsi" w:hAnsiTheme="minorHAnsi" w:eastAsiaTheme="minorEastAsia"/>
          <w:sz w:val="24"/>
          <w:szCs w:val="24"/>
          <w:lang w:eastAsia="ru-RU"/>
          <w14:ligatures w14:val="standardContextual"/>
        </w:rPr>
      </w:pPr>
      <w:r/>
      <w:hyperlink w:tooltip="#_Toc224744292" w:anchor="_Toc224744292" w:history="1">
        <w:r>
          <w:rPr>
            <w:rStyle w:val="1083"/>
          </w:rPr>
          <w:t xml:space="preserve">2.5</w:t>
        </w:r>
        <w:r>
          <w:rPr>
            <w:rFonts w:asciiTheme="minorHAnsi" w:hAnsiTheme="minorHAnsi" w:eastAsiaTheme="minorEastAsia"/>
            <w:sz w:val="24"/>
            <w:szCs w:val="24"/>
            <w:lang w:eastAsia="ru-RU"/>
            <w14:ligatures w14:val="standardContextual"/>
          </w:rPr>
          <w:tab/>
        </w:r>
        <w:r>
          <w:rPr>
            <w:rStyle w:val="1083"/>
          </w:rPr>
          <w:t xml:space="preserve">Прочие положения</w:t>
        </w:r>
        <w:r>
          <w:tab/>
        </w:r>
        <w:r>
          <w:fldChar w:fldCharType="begin"/>
        </w:r>
        <w:r>
          <w:instrText xml:space="preserve"> PAGEREF _Toc224744292 \h </w:instrText>
        </w:r>
        <w:r>
          <w:fldChar w:fldCharType="separate"/>
        </w:r>
        <w:r>
          <w:t xml:space="preserve">26</w:t>
        </w:r>
        <w:r>
          <w:fldChar w:fldCharType="end"/>
        </w:r>
      </w:hyperlink>
      <w:r>
        <w:rPr>
          <w:rFonts w:asciiTheme="minorHAnsi" w:hAnsiTheme="minorHAnsi" w:eastAsiaTheme="minorEastAsia"/>
          <w:sz w:val="24"/>
          <w:szCs w:val="24"/>
          <w:lang w:eastAsia="ru-RU"/>
          <w14:ligatures w14:val="standardContextual"/>
        </w:rPr>
      </w:r>
      <w:r>
        <w:rPr>
          <w:rFonts w:asciiTheme="minorHAnsi" w:hAnsiTheme="minorHAnsi" w:eastAsiaTheme="minorEastAsia"/>
          <w:sz w:val="24"/>
          <w:szCs w:val="24"/>
          <w:lang w:eastAsia="ru-RU"/>
          <w14:ligatures w14:val="standardContextual"/>
        </w:rPr>
      </w:r>
    </w:p>
    <w:p>
      <w:pPr>
        <w:pStyle w:val="1086"/>
        <w:rPr>
          <w:rFonts w:asciiTheme="minorHAnsi" w:hAnsiTheme="minorHAnsi" w:eastAsiaTheme="minorEastAsia"/>
          <w:b w:val="0"/>
          <w:caps w:val="0"/>
          <w:sz w:val="24"/>
          <w:szCs w:val="24"/>
          <w:lang w:eastAsia="ru-RU"/>
          <w14:ligatures w14:val="standardContextual"/>
        </w:rPr>
      </w:pPr>
      <w:r/>
      <w:hyperlink w:tooltip="#_Toc224744293" w:anchor="_Toc224744293" w:history="1">
        <w:r>
          <w:rPr>
            <w:rStyle w:val="1083"/>
          </w:rPr>
          <w:t xml:space="preserve">3.</w:t>
        </w:r>
        <w:r>
          <w:rPr>
            <w:rFonts w:asciiTheme="minorHAnsi" w:hAnsiTheme="minorHAnsi" w:eastAsiaTheme="minorEastAsia"/>
            <w:b w:val="0"/>
            <w:caps w:val="0"/>
            <w:sz w:val="24"/>
            <w:szCs w:val="24"/>
            <w:lang w:eastAsia="ru-RU"/>
            <w14:ligatures w14:val="standardContextual"/>
          </w:rPr>
          <w:tab/>
        </w:r>
        <w:r>
          <w:rPr>
            <w:rStyle w:val="1083"/>
          </w:rPr>
          <w:t xml:space="preserve">Требования к Участникам</w:t>
        </w:r>
        <w:r>
          <w:tab/>
        </w:r>
        <w:r>
          <w:fldChar w:fldCharType="begin"/>
        </w:r>
        <w:r>
          <w:instrText xml:space="preserve"> PAGEREF _Toc224744293 \h </w:instrText>
        </w:r>
        <w:r>
          <w:fldChar w:fldCharType="separate"/>
        </w:r>
        <w:r>
          <w:t xml:space="preserve">28</w:t>
        </w:r>
        <w:r>
          <w:fldChar w:fldCharType="end"/>
        </w:r>
      </w:hyperlink>
      <w:r>
        <w:rPr>
          <w:rFonts w:asciiTheme="minorHAnsi" w:hAnsiTheme="minorHAnsi" w:eastAsiaTheme="minorEastAsia"/>
          <w:b w:val="0"/>
          <w:caps w:val="0"/>
          <w:sz w:val="24"/>
          <w:szCs w:val="24"/>
          <w:lang w:eastAsia="ru-RU"/>
          <w14:ligatures w14:val="standardContextual"/>
        </w:rPr>
      </w:r>
      <w:r>
        <w:rPr>
          <w:rFonts w:asciiTheme="minorHAnsi" w:hAnsiTheme="minorHAnsi" w:eastAsiaTheme="minorEastAsia"/>
          <w:b w:val="0"/>
          <w:caps w:val="0"/>
          <w:sz w:val="24"/>
          <w:szCs w:val="24"/>
          <w:lang w:eastAsia="ru-RU"/>
          <w14:ligatures w14:val="standardContextual"/>
        </w:rPr>
      </w:r>
    </w:p>
    <w:p>
      <w:pPr>
        <w:pStyle w:val="1085"/>
        <w:rPr>
          <w:rFonts w:asciiTheme="minorHAnsi" w:hAnsiTheme="minorHAnsi" w:eastAsiaTheme="minorEastAsia"/>
          <w:sz w:val="24"/>
          <w:szCs w:val="24"/>
          <w:lang w:eastAsia="ru-RU"/>
          <w14:ligatures w14:val="standardContextual"/>
        </w:rPr>
      </w:pPr>
      <w:r/>
      <w:hyperlink w:tooltip="#_Toc224744294" w:anchor="_Toc224744294" w:history="1">
        <w:r>
          <w:rPr>
            <w:rStyle w:val="1083"/>
          </w:rPr>
          <w:t xml:space="preserve">3.1</w:t>
        </w:r>
        <w:r>
          <w:rPr>
            <w:rFonts w:asciiTheme="minorHAnsi" w:hAnsiTheme="minorHAnsi" w:eastAsiaTheme="minorEastAsia"/>
            <w:sz w:val="24"/>
            <w:szCs w:val="24"/>
            <w:lang w:eastAsia="ru-RU"/>
            <w14:ligatures w14:val="standardContextual"/>
          </w:rPr>
          <w:tab/>
        </w:r>
        <w:r>
          <w:rPr>
            <w:rStyle w:val="1083"/>
          </w:rPr>
          <w:t xml:space="preserve">Общие требования к Участникам</w:t>
        </w:r>
        <w:r>
          <w:tab/>
        </w:r>
        <w:r>
          <w:fldChar w:fldCharType="begin"/>
        </w:r>
        <w:r>
          <w:instrText xml:space="preserve"> PAGEREF _Toc224744294 \h </w:instrText>
        </w:r>
        <w:r>
          <w:fldChar w:fldCharType="separate"/>
        </w:r>
        <w:r>
          <w:t xml:space="preserve">28</w:t>
        </w:r>
        <w:r>
          <w:fldChar w:fldCharType="end"/>
        </w:r>
      </w:hyperlink>
      <w:r>
        <w:rPr>
          <w:rFonts w:asciiTheme="minorHAnsi" w:hAnsiTheme="minorHAnsi" w:eastAsiaTheme="minorEastAsia"/>
          <w:sz w:val="24"/>
          <w:szCs w:val="24"/>
          <w:lang w:eastAsia="ru-RU"/>
          <w14:ligatures w14:val="standardContextual"/>
        </w:rPr>
      </w:r>
      <w:r>
        <w:rPr>
          <w:rFonts w:asciiTheme="minorHAnsi" w:hAnsiTheme="minorHAnsi" w:eastAsiaTheme="minorEastAsia"/>
          <w:sz w:val="24"/>
          <w:szCs w:val="24"/>
          <w:lang w:eastAsia="ru-RU"/>
          <w14:ligatures w14:val="standardContextual"/>
        </w:rPr>
      </w:r>
    </w:p>
    <w:p>
      <w:pPr>
        <w:pStyle w:val="1085"/>
        <w:rPr>
          <w:rFonts w:asciiTheme="minorHAnsi" w:hAnsiTheme="minorHAnsi" w:eastAsiaTheme="minorEastAsia"/>
          <w:sz w:val="24"/>
          <w:szCs w:val="24"/>
          <w:lang w:eastAsia="ru-RU"/>
          <w14:ligatures w14:val="standardContextual"/>
        </w:rPr>
      </w:pPr>
      <w:r/>
      <w:hyperlink w:tooltip="#_Toc224744315" w:anchor="_Toc224744315" w:history="1">
        <w:r>
          <w:rPr>
            <w:rStyle w:val="1083"/>
          </w:rPr>
          <w:t xml:space="preserve">3.2</w:t>
        </w:r>
        <w:r>
          <w:rPr>
            <w:rFonts w:asciiTheme="minorHAnsi" w:hAnsiTheme="minorHAnsi" w:eastAsiaTheme="minorEastAsia"/>
            <w:sz w:val="24"/>
            <w:szCs w:val="24"/>
            <w:lang w:eastAsia="ru-RU"/>
            <w14:ligatures w14:val="standardContextual"/>
          </w:rPr>
          <w:tab/>
        </w:r>
        <w:r>
          <w:rPr>
            <w:rStyle w:val="1083"/>
          </w:rPr>
          <w:t xml:space="preserve">Генеральные подрядчики</w:t>
        </w:r>
        <w:r>
          <w:tab/>
        </w:r>
        <w:r>
          <w:fldChar w:fldCharType="begin"/>
        </w:r>
        <w:r>
          <w:instrText xml:space="preserve"> PAGEREF _Toc224744315 \h </w:instrText>
        </w:r>
        <w:r>
          <w:fldChar w:fldCharType="separate"/>
        </w:r>
        <w:r>
          <w:t xml:space="preserve">28</w:t>
        </w:r>
        <w:r>
          <w:fldChar w:fldCharType="end"/>
        </w:r>
      </w:hyperlink>
      <w:r>
        <w:rPr>
          <w:rFonts w:asciiTheme="minorHAnsi" w:hAnsiTheme="minorHAnsi" w:eastAsiaTheme="minorEastAsia"/>
          <w:sz w:val="24"/>
          <w:szCs w:val="24"/>
          <w:lang w:eastAsia="ru-RU"/>
          <w14:ligatures w14:val="standardContextual"/>
        </w:rPr>
      </w:r>
      <w:r>
        <w:rPr>
          <w:rFonts w:asciiTheme="minorHAnsi" w:hAnsiTheme="minorHAnsi" w:eastAsiaTheme="minorEastAsia"/>
          <w:sz w:val="24"/>
          <w:szCs w:val="24"/>
          <w:lang w:eastAsia="ru-RU"/>
          <w14:ligatures w14:val="standardContextual"/>
        </w:rPr>
      </w:r>
    </w:p>
    <w:p>
      <w:pPr>
        <w:pStyle w:val="1086"/>
        <w:rPr>
          <w:rFonts w:asciiTheme="minorHAnsi" w:hAnsiTheme="minorHAnsi" w:eastAsiaTheme="minorEastAsia"/>
          <w:b w:val="0"/>
          <w:caps w:val="0"/>
          <w:sz w:val="24"/>
          <w:szCs w:val="24"/>
          <w:lang w:eastAsia="ru-RU"/>
          <w14:ligatures w14:val="standardContextual"/>
        </w:rPr>
      </w:pPr>
      <w:r/>
      <w:hyperlink w:tooltip="#_Toc224744316" w:anchor="_Toc224744316" w:history="1">
        <w:r>
          <w:rPr>
            <w:rStyle w:val="1083"/>
          </w:rPr>
          <w:t xml:space="preserve">4.</w:t>
        </w:r>
        <w:r>
          <w:rPr>
            <w:rFonts w:asciiTheme="minorHAnsi" w:hAnsiTheme="minorHAnsi" w:eastAsiaTheme="minorEastAsia"/>
            <w:b w:val="0"/>
            <w:caps w:val="0"/>
            <w:sz w:val="24"/>
            <w:szCs w:val="24"/>
            <w:lang w:eastAsia="ru-RU"/>
            <w14:ligatures w14:val="standardContextual"/>
          </w:rPr>
          <w:tab/>
        </w:r>
        <w:r>
          <w:rPr>
            <w:rStyle w:val="1083"/>
          </w:rPr>
          <w:t xml:space="preserve">Порядок проведения закупки</w:t>
        </w:r>
        <w:r>
          <w:tab/>
        </w:r>
        <w:r>
          <w:fldChar w:fldCharType="begin"/>
        </w:r>
        <w:r>
          <w:instrText xml:space="preserve"> PAGEREF _Toc224744316 \h </w:instrText>
        </w:r>
        <w:r>
          <w:fldChar w:fldCharType="separate"/>
        </w:r>
        <w:r>
          <w:t xml:space="preserve">30</w:t>
        </w:r>
        <w:r>
          <w:fldChar w:fldCharType="end"/>
        </w:r>
      </w:hyperlink>
      <w:r>
        <w:rPr>
          <w:rFonts w:asciiTheme="minorHAnsi" w:hAnsiTheme="minorHAnsi" w:eastAsiaTheme="minorEastAsia"/>
          <w:b w:val="0"/>
          <w:caps w:val="0"/>
          <w:sz w:val="24"/>
          <w:szCs w:val="24"/>
          <w:lang w:eastAsia="ru-RU"/>
          <w14:ligatures w14:val="standardContextual"/>
        </w:rPr>
      </w:r>
      <w:r>
        <w:rPr>
          <w:rFonts w:asciiTheme="minorHAnsi" w:hAnsiTheme="minorHAnsi" w:eastAsiaTheme="minorEastAsia"/>
          <w:b w:val="0"/>
          <w:caps w:val="0"/>
          <w:sz w:val="24"/>
          <w:szCs w:val="24"/>
          <w:lang w:eastAsia="ru-RU"/>
          <w14:ligatures w14:val="standardContextual"/>
        </w:rPr>
      </w:r>
    </w:p>
    <w:p>
      <w:pPr>
        <w:pStyle w:val="1085"/>
        <w:rPr>
          <w:rFonts w:asciiTheme="minorHAnsi" w:hAnsiTheme="minorHAnsi" w:eastAsiaTheme="minorEastAsia"/>
          <w:sz w:val="24"/>
          <w:szCs w:val="24"/>
          <w:lang w:eastAsia="ru-RU"/>
          <w14:ligatures w14:val="standardContextual"/>
        </w:rPr>
      </w:pPr>
      <w:r/>
      <w:hyperlink w:tooltip="#_Toc224744317" w:anchor="_Toc224744317" w:history="1">
        <w:r>
          <w:rPr>
            <w:rStyle w:val="1083"/>
          </w:rPr>
          <w:t xml:space="preserve">4.1</w:t>
        </w:r>
        <w:r>
          <w:rPr>
            <w:rFonts w:asciiTheme="minorHAnsi" w:hAnsiTheme="minorHAnsi" w:eastAsiaTheme="minorEastAsia"/>
            <w:sz w:val="24"/>
            <w:szCs w:val="24"/>
            <w:lang w:eastAsia="ru-RU"/>
            <w14:ligatures w14:val="standardContextual"/>
          </w:rPr>
          <w:tab/>
        </w:r>
        <w:r>
          <w:rPr>
            <w:rStyle w:val="1083"/>
          </w:rPr>
          <w:t xml:space="preserve">Общий порядок проведения закупки</w:t>
        </w:r>
        <w:r>
          <w:tab/>
        </w:r>
        <w:r>
          <w:fldChar w:fldCharType="begin"/>
        </w:r>
        <w:r>
          <w:instrText xml:space="preserve"> PAGEREF _Toc224744317 \h </w:instrText>
        </w:r>
        <w:r>
          <w:fldChar w:fldCharType="separate"/>
        </w:r>
        <w:r>
          <w:t xml:space="preserve">30</w:t>
        </w:r>
        <w:r>
          <w:fldChar w:fldCharType="end"/>
        </w:r>
      </w:hyperlink>
      <w:r>
        <w:rPr>
          <w:rFonts w:asciiTheme="minorHAnsi" w:hAnsiTheme="minorHAnsi" w:eastAsiaTheme="minorEastAsia"/>
          <w:sz w:val="24"/>
          <w:szCs w:val="24"/>
          <w:lang w:eastAsia="ru-RU"/>
          <w14:ligatures w14:val="standardContextual"/>
        </w:rPr>
      </w:r>
      <w:r>
        <w:rPr>
          <w:rFonts w:asciiTheme="minorHAnsi" w:hAnsiTheme="minorHAnsi" w:eastAsiaTheme="minorEastAsia"/>
          <w:sz w:val="24"/>
          <w:szCs w:val="24"/>
          <w:lang w:eastAsia="ru-RU"/>
          <w14:ligatures w14:val="standardContextual"/>
        </w:rPr>
      </w:r>
    </w:p>
    <w:p>
      <w:pPr>
        <w:pStyle w:val="1085"/>
        <w:rPr>
          <w:rFonts w:asciiTheme="minorHAnsi" w:hAnsiTheme="minorHAnsi" w:eastAsiaTheme="minorEastAsia"/>
          <w:sz w:val="24"/>
          <w:szCs w:val="24"/>
          <w:lang w:eastAsia="ru-RU"/>
          <w14:ligatures w14:val="standardContextual"/>
        </w:rPr>
      </w:pPr>
      <w:r/>
      <w:hyperlink w:tooltip="#_Toc224744318" w:anchor="_Toc224744318" w:history="1">
        <w:r>
          <w:rPr>
            <w:rStyle w:val="1083"/>
          </w:rPr>
          <w:t xml:space="preserve">4.2</w:t>
        </w:r>
        <w:r>
          <w:rPr>
            <w:rFonts w:asciiTheme="minorHAnsi" w:hAnsiTheme="minorHAnsi" w:eastAsiaTheme="minorEastAsia"/>
            <w:sz w:val="24"/>
            <w:szCs w:val="24"/>
            <w:lang w:eastAsia="ru-RU"/>
            <w14:ligatures w14:val="standardContextual"/>
          </w:rPr>
          <w:tab/>
        </w:r>
        <w:r>
          <w:rPr>
            <w:rStyle w:val="1083"/>
          </w:rPr>
          <w:t xml:space="preserve">Официальное размещение Извещения и Документации о закупке</w:t>
        </w:r>
        <w:r>
          <w:tab/>
        </w:r>
        <w:r>
          <w:fldChar w:fldCharType="begin"/>
        </w:r>
        <w:r>
          <w:instrText xml:space="preserve"> PAGEREF _Toc224744318 \h </w:instrText>
        </w:r>
        <w:r>
          <w:fldChar w:fldCharType="separate"/>
        </w:r>
        <w:r>
          <w:t xml:space="preserve">32</w:t>
        </w:r>
        <w:r>
          <w:fldChar w:fldCharType="end"/>
        </w:r>
      </w:hyperlink>
      <w:r>
        <w:rPr>
          <w:rFonts w:asciiTheme="minorHAnsi" w:hAnsiTheme="minorHAnsi" w:eastAsiaTheme="minorEastAsia"/>
          <w:sz w:val="24"/>
          <w:szCs w:val="24"/>
          <w:lang w:eastAsia="ru-RU"/>
          <w14:ligatures w14:val="standardContextual"/>
        </w:rPr>
      </w:r>
      <w:r>
        <w:rPr>
          <w:rFonts w:asciiTheme="minorHAnsi" w:hAnsiTheme="minorHAnsi" w:eastAsiaTheme="minorEastAsia"/>
          <w:sz w:val="24"/>
          <w:szCs w:val="24"/>
          <w:lang w:eastAsia="ru-RU"/>
          <w14:ligatures w14:val="standardContextual"/>
        </w:rPr>
      </w:r>
    </w:p>
    <w:p>
      <w:pPr>
        <w:pStyle w:val="1085"/>
        <w:rPr>
          <w:rFonts w:asciiTheme="minorHAnsi" w:hAnsiTheme="minorHAnsi" w:eastAsiaTheme="minorEastAsia"/>
          <w:sz w:val="24"/>
          <w:szCs w:val="24"/>
          <w:lang w:eastAsia="ru-RU"/>
          <w14:ligatures w14:val="standardContextual"/>
        </w:rPr>
      </w:pPr>
      <w:r/>
      <w:hyperlink w:tooltip="#_Toc224744319" w:anchor="_Toc224744319" w:history="1">
        <w:r>
          <w:rPr>
            <w:rStyle w:val="1083"/>
          </w:rPr>
          <w:t xml:space="preserve">4.3</w:t>
        </w:r>
        <w:r>
          <w:rPr>
            <w:rFonts w:asciiTheme="minorHAnsi" w:hAnsiTheme="minorHAnsi" w:eastAsiaTheme="minorEastAsia"/>
            <w:sz w:val="24"/>
            <w:szCs w:val="24"/>
            <w:lang w:eastAsia="ru-RU"/>
            <w14:ligatures w14:val="standardContextual"/>
          </w:rPr>
          <w:tab/>
        </w:r>
        <w:r>
          <w:rPr>
            <w:rStyle w:val="1083"/>
          </w:rPr>
          <w:t xml:space="preserve">Подготовка заявки</w:t>
        </w:r>
        <w:r>
          <w:tab/>
        </w:r>
        <w:r>
          <w:fldChar w:fldCharType="begin"/>
        </w:r>
        <w:r>
          <w:instrText xml:space="preserve"> PAGEREF _Toc224744319 \h </w:instrText>
        </w:r>
        <w:r>
          <w:fldChar w:fldCharType="separate"/>
        </w:r>
        <w:r>
          <w:t xml:space="preserve">32</w:t>
        </w:r>
        <w:r>
          <w:fldChar w:fldCharType="end"/>
        </w:r>
      </w:hyperlink>
      <w:r>
        <w:rPr>
          <w:rFonts w:asciiTheme="minorHAnsi" w:hAnsiTheme="minorHAnsi" w:eastAsiaTheme="minorEastAsia"/>
          <w:sz w:val="24"/>
          <w:szCs w:val="24"/>
          <w:lang w:eastAsia="ru-RU"/>
          <w14:ligatures w14:val="standardContextual"/>
        </w:rPr>
      </w:r>
      <w:r>
        <w:rPr>
          <w:rFonts w:asciiTheme="minorHAnsi" w:hAnsiTheme="minorHAnsi" w:eastAsiaTheme="minorEastAsia"/>
          <w:sz w:val="24"/>
          <w:szCs w:val="24"/>
          <w:lang w:eastAsia="ru-RU"/>
          <w14:ligatures w14:val="standardContextual"/>
        </w:rPr>
      </w:r>
    </w:p>
    <w:p>
      <w:pPr>
        <w:pStyle w:val="1085"/>
        <w:rPr>
          <w:rFonts w:asciiTheme="minorHAnsi" w:hAnsiTheme="minorHAnsi" w:eastAsiaTheme="minorEastAsia"/>
          <w:sz w:val="24"/>
          <w:szCs w:val="24"/>
          <w:lang w:eastAsia="ru-RU"/>
          <w14:ligatures w14:val="standardContextual"/>
        </w:rPr>
      </w:pPr>
      <w:r/>
      <w:hyperlink w:tooltip="#_Toc224744320" w:anchor="_Toc224744320" w:history="1">
        <w:r>
          <w:rPr>
            <w:rStyle w:val="1083"/>
          </w:rPr>
          <w:t xml:space="preserve">4.4</w:t>
        </w:r>
        <w:r>
          <w:rPr>
            <w:rFonts w:asciiTheme="minorHAnsi" w:hAnsiTheme="minorHAnsi" w:eastAsiaTheme="minorEastAsia"/>
            <w:sz w:val="24"/>
            <w:szCs w:val="24"/>
            <w:lang w:eastAsia="ru-RU"/>
            <w14:ligatures w14:val="standardContextual"/>
          </w:rPr>
          <w:tab/>
        </w:r>
        <w:r>
          <w:rPr>
            <w:rStyle w:val="1083"/>
          </w:rPr>
          <w:t xml:space="preserve">Разъяснение Документации о закупке</w:t>
        </w:r>
        <w:r>
          <w:tab/>
        </w:r>
        <w:r>
          <w:fldChar w:fldCharType="begin"/>
        </w:r>
        <w:r>
          <w:instrText xml:space="preserve"> PAGEREF _Toc224744320 \h </w:instrText>
        </w:r>
        <w:r>
          <w:fldChar w:fldCharType="separate"/>
        </w:r>
        <w:r>
          <w:t xml:space="preserve">35</w:t>
        </w:r>
        <w:r>
          <w:fldChar w:fldCharType="end"/>
        </w:r>
      </w:hyperlink>
      <w:r>
        <w:rPr>
          <w:rFonts w:asciiTheme="minorHAnsi" w:hAnsiTheme="minorHAnsi" w:eastAsiaTheme="minorEastAsia"/>
          <w:sz w:val="24"/>
          <w:szCs w:val="24"/>
          <w:lang w:eastAsia="ru-RU"/>
          <w14:ligatures w14:val="standardContextual"/>
        </w:rPr>
      </w:r>
      <w:r>
        <w:rPr>
          <w:rFonts w:asciiTheme="minorHAnsi" w:hAnsiTheme="minorHAnsi" w:eastAsiaTheme="minorEastAsia"/>
          <w:sz w:val="24"/>
          <w:szCs w:val="24"/>
          <w:lang w:eastAsia="ru-RU"/>
          <w14:ligatures w14:val="standardContextual"/>
        </w:rPr>
      </w:r>
    </w:p>
    <w:p>
      <w:pPr>
        <w:pStyle w:val="1085"/>
        <w:rPr>
          <w:rFonts w:asciiTheme="minorHAnsi" w:hAnsiTheme="minorHAnsi" w:eastAsiaTheme="minorEastAsia"/>
          <w:sz w:val="24"/>
          <w:szCs w:val="24"/>
          <w:lang w:eastAsia="ru-RU"/>
          <w14:ligatures w14:val="standardContextual"/>
        </w:rPr>
      </w:pPr>
      <w:r/>
      <w:hyperlink w:tooltip="#_Toc224744321" w:anchor="_Toc224744321" w:history="1">
        <w:r>
          <w:rPr>
            <w:rStyle w:val="1083"/>
          </w:rPr>
          <w:t xml:space="preserve">4.5</w:t>
        </w:r>
        <w:r>
          <w:rPr>
            <w:rFonts w:asciiTheme="minorHAnsi" w:hAnsiTheme="minorHAnsi" w:eastAsiaTheme="minorEastAsia"/>
            <w:sz w:val="24"/>
            <w:szCs w:val="24"/>
            <w:lang w:eastAsia="ru-RU"/>
            <w14:ligatures w14:val="standardContextual"/>
          </w:rPr>
          <w:tab/>
        </w:r>
        <w:r>
          <w:rPr>
            <w:rStyle w:val="1083"/>
          </w:rPr>
          <w:t xml:space="preserve">Изменения Извещения и (или) Документации о закупке</w:t>
        </w:r>
        <w:r>
          <w:tab/>
        </w:r>
        <w:r>
          <w:fldChar w:fldCharType="begin"/>
        </w:r>
        <w:r>
          <w:instrText xml:space="preserve"> PAGEREF _Toc224744321 \h </w:instrText>
        </w:r>
        <w:r>
          <w:fldChar w:fldCharType="separate"/>
        </w:r>
        <w:r>
          <w:t xml:space="preserve">36</w:t>
        </w:r>
        <w:r>
          <w:fldChar w:fldCharType="end"/>
        </w:r>
      </w:hyperlink>
      <w:r>
        <w:rPr>
          <w:rFonts w:asciiTheme="minorHAnsi" w:hAnsiTheme="minorHAnsi" w:eastAsiaTheme="minorEastAsia"/>
          <w:sz w:val="24"/>
          <w:szCs w:val="24"/>
          <w:lang w:eastAsia="ru-RU"/>
          <w14:ligatures w14:val="standardContextual"/>
        </w:rPr>
      </w:r>
      <w:r>
        <w:rPr>
          <w:rFonts w:asciiTheme="minorHAnsi" w:hAnsiTheme="minorHAnsi" w:eastAsiaTheme="minorEastAsia"/>
          <w:sz w:val="24"/>
          <w:szCs w:val="24"/>
          <w:lang w:eastAsia="ru-RU"/>
          <w14:ligatures w14:val="standardContextual"/>
        </w:rPr>
      </w:r>
    </w:p>
    <w:p>
      <w:pPr>
        <w:pStyle w:val="1085"/>
        <w:rPr>
          <w:rFonts w:asciiTheme="minorHAnsi" w:hAnsiTheme="minorHAnsi" w:eastAsiaTheme="minorEastAsia"/>
          <w:sz w:val="24"/>
          <w:szCs w:val="24"/>
          <w:lang w:eastAsia="ru-RU"/>
          <w14:ligatures w14:val="standardContextual"/>
        </w:rPr>
      </w:pPr>
      <w:r/>
      <w:hyperlink w:tooltip="#_Toc224744322" w:anchor="_Toc224744322" w:history="1">
        <w:r>
          <w:rPr>
            <w:rStyle w:val="1083"/>
          </w:rPr>
          <w:t xml:space="preserve">4.6</w:t>
        </w:r>
        <w:r>
          <w:rPr>
            <w:rFonts w:asciiTheme="minorHAnsi" w:hAnsiTheme="minorHAnsi" w:eastAsiaTheme="minorEastAsia"/>
            <w:sz w:val="24"/>
            <w:szCs w:val="24"/>
            <w:lang w:eastAsia="ru-RU"/>
            <w14:ligatures w14:val="standardContextual"/>
          </w:rPr>
          <w:tab/>
        </w:r>
        <w:r>
          <w:rPr>
            <w:rStyle w:val="1083"/>
          </w:rPr>
          <w:t xml:space="preserve">Подача заявок и их прием</w:t>
        </w:r>
        <w:r>
          <w:tab/>
        </w:r>
        <w:r>
          <w:fldChar w:fldCharType="begin"/>
        </w:r>
        <w:r>
          <w:instrText xml:space="preserve"> PAGEREF _Toc224744322 \h </w:instrText>
        </w:r>
        <w:r>
          <w:fldChar w:fldCharType="separate"/>
        </w:r>
        <w:r>
          <w:t xml:space="preserve">36</w:t>
        </w:r>
        <w:r>
          <w:fldChar w:fldCharType="end"/>
        </w:r>
      </w:hyperlink>
      <w:r>
        <w:rPr>
          <w:rFonts w:asciiTheme="minorHAnsi" w:hAnsiTheme="minorHAnsi" w:eastAsiaTheme="minorEastAsia"/>
          <w:sz w:val="24"/>
          <w:szCs w:val="24"/>
          <w:lang w:eastAsia="ru-RU"/>
          <w14:ligatures w14:val="standardContextual"/>
        </w:rPr>
      </w:r>
      <w:r>
        <w:rPr>
          <w:rFonts w:asciiTheme="minorHAnsi" w:hAnsiTheme="minorHAnsi" w:eastAsiaTheme="minorEastAsia"/>
          <w:sz w:val="24"/>
          <w:szCs w:val="24"/>
          <w:lang w:eastAsia="ru-RU"/>
          <w14:ligatures w14:val="standardContextual"/>
        </w:rPr>
      </w:r>
    </w:p>
    <w:p>
      <w:pPr>
        <w:pStyle w:val="1085"/>
        <w:rPr>
          <w:rFonts w:asciiTheme="minorHAnsi" w:hAnsiTheme="minorHAnsi" w:eastAsiaTheme="minorEastAsia"/>
          <w:sz w:val="24"/>
          <w:szCs w:val="24"/>
          <w:lang w:eastAsia="ru-RU"/>
          <w14:ligatures w14:val="standardContextual"/>
        </w:rPr>
      </w:pPr>
      <w:r/>
      <w:hyperlink w:tooltip="#_Toc224744323" w:anchor="_Toc224744323" w:history="1">
        <w:r>
          <w:rPr>
            <w:rStyle w:val="1083"/>
          </w:rPr>
          <w:t xml:space="preserve">4.7</w:t>
        </w:r>
        <w:r>
          <w:rPr>
            <w:rFonts w:asciiTheme="minorHAnsi" w:hAnsiTheme="minorHAnsi" w:eastAsiaTheme="minorEastAsia"/>
            <w:sz w:val="24"/>
            <w:szCs w:val="24"/>
            <w:lang w:eastAsia="ru-RU"/>
            <w14:ligatures w14:val="standardContextual"/>
          </w:rPr>
          <w:tab/>
        </w:r>
        <w:r>
          <w:rPr>
            <w:rStyle w:val="1083"/>
          </w:rPr>
          <w:t xml:space="preserve">Изменение и отзыв заявок</w:t>
        </w:r>
        <w:r>
          <w:tab/>
        </w:r>
        <w:r>
          <w:fldChar w:fldCharType="begin"/>
        </w:r>
        <w:r>
          <w:instrText xml:space="preserve"> PAGEREF _Toc224744323 \h </w:instrText>
        </w:r>
        <w:r>
          <w:fldChar w:fldCharType="separate"/>
        </w:r>
        <w:r>
          <w:t xml:space="preserve">37</w:t>
        </w:r>
        <w:r>
          <w:fldChar w:fldCharType="end"/>
        </w:r>
      </w:hyperlink>
      <w:r>
        <w:rPr>
          <w:rFonts w:asciiTheme="minorHAnsi" w:hAnsiTheme="minorHAnsi" w:eastAsiaTheme="minorEastAsia"/>
          <w:sz w:val="24"/>
          <w:szCs w:val="24"/>
          <w:lang w:eastAsia="ru-RU"/>
          <w14:ligatures w14:val="standardContextual"/>
        </w:rPr>
      </w:r>
      <w:r>
        <w:rPr>
          <w:rFonts w:asciiTheme="minorHAnsi" w:hAnsiTheme="minorHAnsi" w:eastAsiaTheme="minorEastAsia"/>
          <w:sz w:val="24"/>
          <w:szCs w:val="24"/>
          <w:lang w:eastAsia="ru-RU"/>
          <w14:ligatures w14:val="standardContextual"/>
        </w:rPr>
      </w:r>
    </w:p>
    <w:p>
      <w:pPr>
        <w:pStyle w:val="1085"/>
        <w:rPr>
          <w:rFonts w:asciiTheme="minorHAnsi" w:hAnsiTheme="minorHAnsi" w:eastAsiaTheme="minorEastAsia"/>
          <w:sz w:val="24"/>
          <w:szCs w:val="24"/>
          <w:lang w:eastAsia="ru-RU"/>
          <w14:ligatures w14:val="standardContextual"/>
        </w:rPr>
      </w:pPr>
      <w:r/>
      <w:hyperlink w:tooltip="#_Toc224744324" w:anchor="_Toc224744324" w:history="1">
        <w:r>
          <w:rPr>
            <w:rStyle w:val="1083"/>
          </w:rPr>
          <w:t xml:space="preserve">4.8</w:t>
        </w:r>
        <w:r>
          <w:rPr>
            <w:rFonts w:asciiTheme="minorHAnsi" w:hAnsiTheme="minorHAnsi" w:eastAsiaTheme="minorEastAsia"/>
            <w:sz w:val="24"/>
            <w:szCs w:val="24"/>
            <w:lang w:eastAsia="ru-RU"/>
            <w14:ligatures w14:val="standardContextual"/>
          </w:rPr>
          <w:tab/>
        </w:r>
        <w:r>
          <w:rPr>
            <w:rStyle w:val="1083"/>
          </w:rPr>
          <w:t xml:space="preserve">Открытие доступа к заявкам</w:t>
        </w:r>
        <w:r>
          <w:tab/>
        </w:r>
        <w:r>
          <w:fldChar w:fldCharType="begin"/>
        </w:r>
        <w:r>
          <w:instrText xml:space="preserve"> PAGEREF _Toc224744324 \h </w:instrText>
        </w:r>
        <w:r>
          <w:fldChar w:fldCharType="separate"/>
        </w:r>
        <w:r>
          <w:t xml:space="preserve">37</w:t>
        </w:r>
        <w:r>
          <w:fldChar w:fldCharType="end"/>
        </w:r>
      </w:hyperlink>
      <w:r>
        <w:rPr>
          <w:rFonts w:asciiTheme="minorHAnsi" w:hAnsiTheme="minorHAnsi" w:eastAsiaTheme="minorEastAsia"/>
          <w:sz w:val="24"/>
          <w:szCs w:val="24"/>
          <w:lang w:eastAsia="ru-RU"/>
          <w14:ligatures w14:val="standardContextual"/>
        </w:rPr>
      </w:r>
      <w:r>
        <w:rPr>
          <w:rFonts w:asciiTheme="minorHAnsi" w:hAnsiTheme="minorHAnsi" w:eastAsiaTheme="minorEastAsia"/>
          <w:sz w:val="24"/>
          <w:szCs w:val="24"/>
          <w:lang w:eastAsia="ru-RU"/>
          <w14:ligatures w14:val="standardContextual"/>
        </w:rPr>
      </w:r>
    </w:p>
    <w:p>
      <w:pPr>
        <w:pStyle w:val="1085"/>
        <w:rPr>
          <w:rFonts w:asciiTheme="minorHAnsi" w:hAnsiTheme="minorHAnsi" w:eastAsiaTheme="minorEastAsia"/>
          <w:sz w:val="24"/>
          <w:szCs w:val="24"/>
          <w:lang w:eastAsia="ru-RU"/>
          <w14:ligatures w14:val="standardContextual"/>
        </w:rPr>
      </w:pPr>
      <w:r/>
      <w:hyperlink w:tooltip="#_Toc224744325" w:anchor="_Toc224744325" w:history="1">
        <w:r>
          <w:rPr>
            <w:rStyle w:val="1083"/>
          </w:rPr>
          <w:t xml:space="preserve">4.9</w:t>
        </w:r>
        <w:r>
          <w:rPr>
            <w:rFonts w:asciiTheme="minorHAnsi" w:hAnsiTheme="minorHAnsi" w:eastAsiaTheme="minorEastAsia"/>
            <w:sz w:val="24"/>
            <w:szCs w:val="24"/>
            <w:lang w:eastAsia="ru-RU"/>
            <w14:ligatures w14:val="standardContextual"/>
          </w:rPr>
          <w:tab/>
        </w:r>
        <w:r>
          <w:rPr>
            <w:rStyle w:val="1083"/>
          </w:rPr>
          <w:t xml:space="preserve">Рассмотрение заявок (отборочная стадия), в том числе (при необходимости) проведение аккредитации</w:t>
        </w:r>
        <w:r>
          <w:tab/>
        </w:r>
        <w:r>
          <w:fldChar w:fldCharType="begin"/>
        </w:r>
        <w:r>
          <w:instrText xml:space="preserve"> PAGEREF _Toc224744325 \h </w:instrText>
        </w:r>
        <w:r>
          <w:fldChar w:fldCharType="separate"/>
        </w:r>
        <w:r>
          <w:t xml:space="preserve">37</w:t>
        </w:r>
        <w:r>
          <w:fldChar w:fldCharType="end"/>
        </w:r>
      </w:hyperlink>
      <w:r>
        <w:rPr>
          <w:rFonts w:asciiTheme="minorHAnsi" w:hAnsiTheme="minorHAnsi" w:eastAsiaTheme="minorEastAsia"/>
          <w:sz w:val="24"/>
          <w:szCs w:val="24"/>
          <w:lang w:eastAsia="ru-RU"/>
          <w14:ligatures w14:val="standardContextual"/>
        </w:rPr>
      </w:r>
      <w:r>
        <w:rPr>
          <w:rFonts w:asciiTheme="minorHAnsi" w:hAnsiTheme="minorHAnsi" w:eastAsiaTheme="minorEastAsia"/>
          <w:sz w:val="24"/>
          <w:szCs w:val="24"/>
          <w:lang w:eastAsia="ru-RU"/>
          <w14:ligatures w14:val="standardContextual"/>
        </w:rPr>
      </w:r>
    </w:p>
    <w:p>
      <w:pPr>
        <w:pStyle w:val="1085"/>
        <w:rPr>
          <w:rFonts w:asciiTheme="minorHAnsi" w:hAnsiTheme="minorHAnsi" w:eastAsiaTheme="minorEastAsia"/>
          <w:sz w:val="24"/>
          <w:szCs w:val="24"/>
          <w:lang w:eastAsia="ru-RU"/>
          <w14:ligatures w14:val="standardContextual"/>
        </w:rPr>
      </w:pPr>
      <w:r/>
      <w:hyperlink w:tooltip="#_Toc224744326" w:anchor="_Toc224744326" w:history="1">
        <w:r>
          <w:rPr>
            <w:rStyle w:val="1083"/>
          </w:rPr>
          <w:t xml:space="preserve">4.10</w:t>
        </w:r>
        <w:r>
          <w:rPr>
            <w:rFonts w:asciiTheme="minorHAnsi" w:hAnsiTheme="minorHAnsi" w:eastAsiaTheme="minorEastAsia"/>
            <w:sz w:val="24"/>
            <w:szCs w:val="24"/>
            <w:lang w:eastAsia="ru-RU"/>
            <w14:ligatures w14:val="standardContextual"/>
          </w:rPr>
          <w:tab/>
        </w:r>
        <w:r>
          <w:rPr>
            <w:rStyle w:val="1083"/>
          </w:rPr>
          <w:t xml:space="preserve">Дополнительные запросы разъяснений заявок</w:t>
        </w:r>
        <w:r>
          <w:tab/>
        </w:r>
        <w:r>
          <w:fldChar w:fldCharType="begin"/>
        </w:r>
        <w:r>
          <w:instrText xml:space="preserve"> PAGEREF _Toc224744326 \h </w:instrText>
        </w:r>
        <w:r>
          <w:fldChar w:fldCharType="separate"/>
        </w:r>
        <w:r>
          <w:t xml:space="preserve">38</w:t>
        </w:r>
        <w:r>
          <w:fldChar w:fldCharType="end"/>
        </w:r>
      </w:hyperlink>
      <w:r>
        <w:rPr>
          <w:rFonts w:asciiTheme="minorHAnsi" w:hAnsiTheme="minorHAnsi" w:eastAsiaTheme="minorEastAsia"/>
          <w:sz w:val="24"/>
          <w:szCs w:val="24"/>
          <w:lang w:eastAsia="ru-RU"/>
          <w14:ligatures w14:val="standardContextual"/>
        </w:rPr>
      </w:r>
      <w:r>
        <w:rPr>
          <w:rFonts w:asciiTheme="minorHAnsi" w:hAnsiTheme="minorHAnsi" w:eastAsiaTheme="minorEastAsia"/>
          <w:sz w:val="24"/>
          <w:szCs w:val="24"/>
          <w:lang w:eastAsia="ru-RU"/>
          <w14:ligatures w14:val="standardContextual"/>
        </w:rPr>
      </w:r>
    </w:p>
    <w:p>
      <w:pPr>
        <w:pStyle w:val="1085"/>
        <w:rPr>
          <w:rFonts w:asciiTheme="minorHAnsi" w:hAnsiTheme="minorHAnsi" w:eastAsiaTheme="minorEastAsia"/>
          <w:sz w:val="24"/>
          <w:szCs w:val="24"/>
          <w:lang w:eastAsia="ru-RU"/>
          <w14:ligatures w14:val="standardContextual"/>
        </w:rPr>
      </w:pPr>
      <w:r/>
      <w:hyperlink w:tooltip="#_Toc224744327" w:anchor="_Toc224744327" w:history="1">
        <w:r>
          <w:rPr>
            <w:rStyle w:val="1083"/>
          </w:rPr>
          <w:t xml:space="preserve">4.11</w:t>
        </w:r>
        <w:r>
          <w:rPr>
            <w:rFonts w:asciiTheme="minorHAnsi" w:hAnsiTheme="minorHAnsi" w:eastAsiaTheme="minorEastAsia"/>
            <w:sz w:val="24"/>
            <w:szCs w:val="24"/>
            <w:lang w:eastAsia="ru-RU"/>
            <w14:ligatures w14:val="standardContextual"/>
          </w:rPr>
          <w:tab/>
        </w:r>
        <w:r>
          <w:rPr>
            <w:rStyle w:val="1083"/>
          </w:rPr>
          <w:t xml:space="preserve">Оценка и сопоставление заявок</w:t>
        </w:r>
        <w:r>
          <w:tab/>
        </w:r>
        <w:r>
          <w:fldChar w:fldCharType="begin"/>
        </w:r>
        <w:r>
          <w:instrText xml:space="preserve"> PAGEREF _Toc224744327 \h </w:instrText>
        </w:r>
        <w:r>
          <w:fldChar w:fldCharType="separate"/>
        </w:r>
        <w:r>
          <w:t xml:space="preserve">40</w:t>
        </w:r>
        <w:r>
          <w:fldChar w:fldCharType="end"/>
        </w:r>
      </w:hyperlink>
      <w:r>
        <w:rPr>
          <w:rFonts w:asciiTheme="minorHAnsi" w:hAnsiTheme="minorHAnsi" w:eastAsiaTheme="minorEastAsia"/>
          <w:sz w:val="24"/>
          <w:szCs w:val="24"/>
          <w:lang w:eastAsia="ru-RU"/>
          <w14:ligatures w14:val="standardContextual"/>
        </w:rPr>
      </w:r>
      <w:r>
        <w:rPr>
          <w:rFonts w:asciiTheme="minorHAnsi" w:hAnsiTheme="minorHAnsi" w:eastAsiaTheme="minorEastAsia"/>
          <w:sz w:val="24"/>
          <w:szCs w:val="24"/>
          <w:lang w:eastAsia="ru-RU"/>
          <w14:ligatures w14:val="standardContextual"/>
        </w:rPr>
      </w:r>
    </w:p>
    <w:p>
      <w:pPr>
        <w:pStyle w:val="1085"/>
        <w:rPr>
          <w:rFonts w:asciiTheme="minorHAnsi" w:hAnsiTheme="minorHAnsi" w:eastAsiaTheme="minorEastAsia"/>
          <w:sz w:val="24"/>
          <w:szCs w:val="24"/>
          <w:lang w:eastAsia="ru-RU"/>
          <w14:ligatures w14:val="standardContextual"/>
        </w:rPr>
      </w:pPr>
      <w:r/>
      <w:hyperlink w:tooltip="#_Toc224744328" w:anchor="_Toc224744328" w:history="1">
        <w:r>
          <w:rPr>
            <w:rStyle w:val="1083"/>
          </w:rPr>
          <w:t xml:space="preserve">4.12</w:t>
        </w:r>
        <w:r>
          <w:rPr>
            <w:rFonts w:asciiTheme="minorHAnsi" w:hAnsiTheme="minorHAnsi" w:eastAsiaTheme="minorEastAsia"/>
            <w:sz w:val="24"/>
            <w:szCs w:val="24"/>
            <w:lang w:eastAsia="ru-RU"/>
            <w14:ligatures w14:val="standardContextual"/>
          </w:rPr>
          <w:tab/>
        </w:r>
        <w:r>
          <w:rPr>
            <w:rStyle w:val="1083"/>
          </w:rPr>
          <w:t xml:space="preserve">Применение законодательства о национальном режиме</w:t>
        </w:r>
        <w:r>
          <w:tab/>
        </w:r>
        <w:r>
          <w:fldChar w:fldCharType="begin"/>
        </w:r>
        <w:r>
          <w:instrText xml:space="preserve"> PAGEREF _Toc224744328 \h </w:instrText>
        </w:r>
        <w:r>
          <w:fldChar w:fldCharType="separate"/>
        </w:r>
        <w:r>
          <w:t xml:space="preserve">40</w:t>
        </w:r>
        <w:r>
          <w:fldChar w:fldCharType="end"/>
        </w:r>
      </w:hyperlink>
      <w:r>
        <w:rPr>
          <w:rFonts w:asciiTheme="minorHAnsi" w:hAnsiTheme="minorHAnsi" w:eastAsiaTheme="minorEastAsia"/>
          <w:sz w:val="24"/>
          <w:szCs w:val="24"/>
          <w:lang w:eastAsia="ru-RU"/>
          <w14:ligatures w14:val="standardContextual"/>
        </w:rPr>
      </w:r>
      <w:r>
        <w:rPr>
          <w:rFonts w:asciiTheme="minorHAnsi" w:hAnsiTheme="minorHAnsi" w:eastAsiaTheme="minorEastAsia"/>
          <w:sz w:val="24"/>
          <w:szCs w:val="24"/>
          <w:lang w:eastAsia="ru-RU"/>
          <w14:ligatures w14:val="standardContextual"/>
        </w:rPr>
      </w:r>
    </w:p>
    <w:p>
      <w:pPr>
        <w:pStyle w:val="1085"/>
        <w:rPr>
          <w:rFonts w:asciiTheme="minorHAnsi" w:hAnsiTheme="minorHAnsi" w:eastAsiaTheme="minorEastAsia"/>
          <w:sz w:val="24"/>
          <w:szCs w:val="24"/>
          <w:lang w:eastAsia="ru-RU"/>
          <w14:ligatures w14:val="standardContextual"/>
        </w:rPr>
      </w:pPr>
      <w:r/>
      <w:hyperlink w:tooltip="#_Toc224744329" w:anchor="_Toc224744329" w:history="1">
        <w:r>
          <w:rPr>
            <w:rStyle w:val="1083"/>
          </w:rPr>
          <w:t xml:space="preserve">4.13</w:t>
        </w:r>
        <w:r>
          <w:rPr>
            <w:rFonts w:asciiTheme="minorHAnsi" w:hAnsiTheme="minorHAnsi" w:eastAsiaTheme="minorEastAsia"/>
            <w:sz w:val="24"/>
            <w:szCs w:val="24"/>
            <w:lang w:eastAsia="ru-RU"/>
            <w14:ligatures w14:val="standardContextual"/>
          </w:rPr>
          <w:tab/>
        </w:r>
        <w:r>
          <w:rPr>
            <w:rStyle w:val="1083"/>
          </w:rPr>
          <w:t xml:space="preserve">Преференции в части использования российского алюминия</w:t>
        </w:r>
        <w:r>
          <w:tab/>
        </w:r>
        <w:r>
          <w:fldChar w:fldCharType="begin"/>
        </w:r>
        <w:r>
          <w:instrText xml:space="preserve"> PAGEREF _Toc224744329 \h </w:instrText>
        </w:r>
        <w:r>
          <w:fldChar w:fldCharType="separate"/>
        </w:r>
        <w:r>
          <w:t xml:space="preserve">43</w:t>
        </w:r>
        <w:r>
          <w:fldChar w:fldCharType="end"/>
        </w:r>
      </w:hyperlink>
      <w:r>
        <w:rPr>
          <w:rFonts w:asciiTheme="minorHAnsi" w:hAnsiTheme="minorHAnsi" w:eastAsiaTheme="minorEastAsia"/>
          <w:sz w:val="24"/>
          <w:szCs w:val="24"/>
          <w:lang w:eastAsia="ru-RU"/>
          <w14:ligatures w14:val="standardContextual"/>
        </w:rPr>
      </w:r>
      <w:r>
        <w:rPr>
          <w:rFonts w:asciiTheme="minorHAnsi" w:hAnsiTheme="minorHAnsi" w:eastAsiaTheme="minorEastAsia"/>
          <w:sz w:val="24"/>
          <w:szCs w:val="24"/>
          <w:lang w:eastAsia="ru-RU"/>
          <w14:ligatures w14:val="standardContextual"/>
        </w:rPr>
      </w:r>
    </w:p>
    <w:p>
      <w:pPr>
        <w:pStyle w:val="1085"/>
        <w:rPr>
          <w:rFonts w:asciiTheme="minorHAnsi" w:hAnsiTheme="minorHAnsi" w:eastAsiaTheme="minorEastAsia"/>
          <w:sz w:val="24"/>
          <w:szCs w:val="24"/>
          <w:lang w:eastAsia="ru-RU"/>
          <w14:ligatures w14:val="standardContextual"/>
        </w:rPr>
      </w:pPr>
      <w:r/>
      <w:hyperlink w:tooltip="#_Toc224744330" w:anchor="_Toc224744330" w:history="1">
        <w:r>
          <w:rPr>
            <w:rStyle w:val="1083"/>
          </w:rPr>
          <w:t xml:space="preserve">4.14</w:t>
        </w:r>
        <w:r>
          <w:rPr>
            <w:rFonts w:asciiTheme="minorHAnsi" w:hAnsiTheme="minorHAnsi" w:eastAsiaTheme="minorEastAsia"/>
            <w:sz w:val="24"/>
            <w:szCs w:val="24"/>
            <w:lang w:eastAsia="ru-RU"/>
            <w14:ligatures w14:val="standardContextual"/>
          </w:rPr>
          <w:tab/>
        </w:r>
        <w:r>
          <w:rPr>
            <w:rStyle w:val="1083"/>
          </w:rPr>
          <w:t xml:space="preserve">Подведение итогов закупки (определение Победителя)</w:t>
        </w:r>
        <w:r>
          <w:tab/>
        </w:r>
        <w:r>
          <w:fldChar w:fldCharType="begin"/>
        </w:r>
        <w:r>
          <w:instrText xml:space="preserve"> PAGEREF _Toc224744330 \h </w:instrText>
        </w:r>
        <w:r>
          <w:fldChar w:fldCharType="separate"/>
        </w:r>
        <w:r>
          <w:t xml:space="preserve">43</w:t>
        </w:r>
        <w:r>
          <w:fldChar w:fldCharType="end"/>
        </w:r>
      </w:hyperlink>
      <w:r>
        <w:rPr>
          <w:rFonts w:asciiTheme="minorHAnsi" w:hAnsiTheme="minorHAnsi" w:eastAsiaTheme="minorEastAsia"/>
          <w:sz w:val="24"/>
          <w:szCs w:val="24"/>
          <w:lang w:eastAsia="ru-RU"/>
          <w14:ligatures w14:val="standardContextual"/>
        </w:rPr>
      </w:r>
      <w:r>
        <w:rPr>
          <w:rFonts w:asciiTheme="minorHAnsi" w:hAnsiTheme="minorHAnsi" w:eastAsiaTheme="minorEastAsia"/>
          <w:sz w:val="24"/>
          <w:szCs w:val="24"/>
          <w:lang w:eastAsia="ru-RU"/>
          <w14:ligatures w14:val="standardContextual"/>
        </w:rPr>
      </w:r>
    </w:p>
    <w:p>
      <w:pPr>
        <w:pStyle w:val="1085"/>
        <w:rPr>
          <w:rFonts w:asciiTheme="minorHAnsi" w:hAnsiTheme="minorHAnsi" w:eastAsiaTheme="minorEastAsia"/>
          <w:sz w:val="24"/>
          <w:szCs w:val="24"/>
          <w:lang w:eastAsia="ru-RU"/>
          <w14:ligatures w14:val="standardContextual"/>
        </w:rPr>
      </w:pPr>
      <w:r/>
      <w:hyperlink w:tooltip="#_Toc224744331" w:anchor="_Toc224744331" w:history="1">
        <w:r>
          <w:rPr>
            <w:rStyle w:val="1083"/>
          </w:rPr>
          <w:t xml:space="preserve">4.15</w:t>
        </w:r>
        <w:r>
          <w:rPr>
            <w:rFonts w:asciiTheme="minorHAnsi" w:hAnsiTheme="minorHAnsi" w:eastAsiaTheme="minorEastAsia"/>
            <w:sz w:val="24"/>
            <w:szCs w:val="24"/>
            <w:lang w:eastAsia="ru-RU"/>
            <w14:ligatures w14:val="standardContextual"/>
          </w:rPr>
          <w:tab/>
        </w:r>
        <w:r>
          <w:rPr>
            <w:rStyle w:val="1083"/>
          </w:rPr>
          <w:t xml:space="preserve">Признание закупки несостоявшейся</w:t>
        </w:r>
        <w:r>
          <w:tab/>
        </w:r>
        <w:r>
          <w:fldChar w:fldCharType="begin"/>
        </w:r>
        <w:r>
          <w:instrText xml:space="preserve"> PAGEREF _Toc224744331 \h </w:instrText>
        </w:r>
        <w:r>
          <w:fldChar w:fldCharType="separate"/>
        </w:r>
        <w:r>
          <w:t xml:space="preserve">45</w:t>
        </w:r>
        <w:r>
          <w:fldChar w:fldCharType="end"/>
        </w:r>
      </w:hyperlink>
      <w:r>
        <w:rPr>
          <w:rFonts w:asciiTheme="minorHAnsi" w:hAnsiTheme="minorHAnsi" w:eastAsiaTheme="minorEastAsia"/>
          <w:sz w:val="24"/>
          <w:szCs w:val="24"/>
          <w:lang w:eastAsia="ru-RU"/>
          <w14:ligatures w14:val="standardContextual"/>
        </w:rPr>
      </w:r>
      <w:r>
        <w:rPr>
          <w:rFonts w:asciiTheme="minorHAnsi" w:hAnsiTheme="minorHAnsi" w:eastAsiaTheme="minorEastAsia"/>
          <w:sz w:val="24"/>
          <w:szCs w:val="24"/>
          <w:lang w:eastAsia="ru-RU"/>
          <w14:ligatures w14:val="standardContextual"/>
        </w:rPr>
      </w:r>
    </w:p>
    <w:p>
      <w:pPr>
        <w:pStyle w:val="1085"/>
        <w:rPr>
          <w:rFonts w:asciiTheme="minorHAnsi" w:hAnsiTheme="minorHAnsi" w:eastAsiaTheme="minorEastAsia"/>
          <w:sz w:val="24"/>
          <w:szCs w:val="24"/>
          <w:lang w:eastAsia="ru-RU"/>
          <w14:ligatures w14:val="standardContextual"/>
        </w:rPr>
      </w:pPr>
      <w:r/>
      <w:hyperlink w:tooltip="#_Toc224744336" w:anchor="_Toc224744336" w:history="1">
        <w:r>
          <w:rPr>
            <w:rStyle w:val="1083"/>
          </w:rPr>
          <w:t xml:space="preserve">4.16</w:t>
        </w:r>
        <w:r>
          <w:rPr>
            <w:rFonts w:asciiTheme="minorHAnsi" w:hAnsiTheme="minorHAnsi" w:eastAsiaTheme="minorEastAsia"/>
            <w:sz w:val="24"/>
            <w:szCs w:val="24"/>
            <w:lang w:eastAsia="ru-RU"/>
            <w14:ligatures w14:val="standardContextual"/>
          </w:rPr>
          <w:tab/>
        </w:r>
        <w:r>
          <w:rPr>
            <w:rStyle w:val="1083"/>
          </w:rPr>
          <w:t xml:space="preserve">Отказ от проведения закупки (отмена закупки)</w:t>
        </w:r>
        <w:r>
          <w:tab/>
        </w:r>
        <w:r>
          <w:fldChar w:fldCharType="begin"/>
        </w:r>
        <w:r>
          <w:instrText xml:space="preserve"> PAGEREF _Toc224744336 \h </w:instrText>
        </w:r>
        <w:r>
          <w:fldChar w:fldCharType="separate"/>
        </w:r>
        <w:r>
          <w:t xml:space="preserve">46</w:t>
        </w:r>
        <w:r>
          <w:fldChar w:fldCharType="end"/>
        </w:r>
      </w:hyperlink>
      <w:r>
        <w:rPr>
          <w:rFonts w:asciiTheme="minorHAnsi" w:hAnsiTheme="minorHAnsi" w:eastAsiaTheme="minorEastAsia"/>
          <w:sz w:val="24"/>
          <w:szCs w:val="24"/>
          <w:lang w:eastAsia="ru-RU"/>
          <w14:ligatures w14:val="standardContextual"/>
        </w:rPr>
      </w:r>
      <w:r>
        <w:rPr>
          <w:rFonts w:asciiTheme="minorHAnsi" w:hAnsiTheme="minorHAnsi" w:eastAsiaTheme="minorEastAsia"/>
          <w:sz w:val="24"/>
          <w:szCs w:val="24"/>
          <w:lang w:eastAsia="ru-RU"/>
          <w14:ligatures w14:val="standardContextual"/>
        </w:rPr>
      </w:r>
    </w:p>
    <w:p>
      <w:pPr>
        <w:pStyle w:val="1085"/>
        <w:rPr>
          <w:rFonts w:asciiTheme="minorHAnsi" w:hAnsiTheme="minorHAnsi" w:eastAsiaTheme="minorEastAsia"/>
          <w:sz w:val="24"/>
          <w:szCs w:val="24"/>
          <w:lang w:eastAsia="ru-RU"/>
          <w14:ligatures w14:val="standardContextual"/>
        </w:rPr>
      </w:pPr>
      <w:r/>
      <w:hyperlink w:tooltip="#_Toc224744337" w:anchor="_Toc224744337" w:history="1">
        <w:r>
          <w:rPr>
            <w:rStyle w:val="1083"/>
          </w:rPr>
          <w:t xml:space="preserve">4.17</w:t>
        </w:r>
        <w:r>
          <w:rPr>
            <w:rFonts w:asciiTheme="minorHAnsi" w:hAnsiTheme="minorHAnsi" w:eastAsiaTheme="minorEastAsia"/>
            <w:sz w:val="24"/>
            <w:szCs w:val="24"/>
            <w:lang w:eastAsia="ru-RU"/>
            <w14:ligatures w14:val="standardContextual"/>
          </w:rPr>
          <w:tab/>
        </w:r>
        <w:r>
          <w:rPr>
            <w:rStyle w:val="1083"/>
          </w:rPr>
          <w:t xml:space="preserve">Особенности проведения закупки с необходимостью обеспечения заявки</w:t>
        </w:r>
        <w:r>
          <w:tab/>
        </w:r>
        <w:r>
          <w:fldChar w:fldCharType="begin"/>
        </w:r>
        <w:r>
          <w:instrText xml:space="preserve"> PAGEREF _Toc224744337 \h </w:instrText>
        </w:r>
        <w:r>
          <w:fldChar w:fldCharType="separate"/>
        </w:r>
        <w:r>
          <w:t xml:space="preserve">47</w:t>
        </w:r>
        <w:r>
          <w:fldChar w:fldCharType="end"/>
        </w:r>
      </w:hyperlink>
      <w:r>
        <w:rPr>
          <w:rFonts w:asciiTheme="minorHAnsi" w:hAnsiTheme="minorHAnsi" w:eastAsiaTheme="minorEastAsia"/>
          <w:sz w:val="24"/>
          <w:szCs w:val="24"/>
          <w:lang w:eastAsia="ru-RU"/>
          <w14:ligatures w14:val="standardContextual"/>
        </w:rPr>
      </w:r>
      <w:r>
        <w:rPr>
          <w:rFonts w:asciiTheme="minorHAnsi" w:hAnsiTheme="minorHAnsi" w:eastAsiaTheme="minorEastAsia"/>
          <w:sz w:val="24"/>
          <w:szCs w:val="24"/>
          <w:lang w:eastAsia="ru-RU"/>
          <w14:ligatures w14:val="standardContextual"/>
        </w:rPr>
      </w:r>
    </w:p>
    <w:p>
      <w:pPr>
        <w:pStyle w:val="1085"/>
        <w:rPr>
          <w:rFonts w:asciiTheme="minorHAnsi" w:hAnsiTheme="minorHAnsi" w:eastAsiaTheme="minorEastAsia"/>
          <w:sz w:val="24"/>
          <w:szCs w:val="24"/>
          <w:lang w:eastAsia="ru-RU"/>
          <w14:ligatures w14:val="standardContextual"/>
        </w:rPr>
      </w:pPr>
      <w:r/>
      <w:hyperlink w:tooltip="#_Toc224744338" w:anchor="_Toc224744338" w:history="1">
        <w:r>
          <w:rPr>
            <w:rStyle w:val="1083"/>
          </w:rPr>
          <w:t xml:space="preserve">4.18</w:t>
        </w:r>
        <w:r>
          <w:rPr>
            <w:rFonts w:asciiTheme="minorHAnsi" w:hAnsiTheme="minorHAnsi" w:eastAsiaTheme="minorEastAsia"/>
            <w:sz w:val="24"/>
            <w:szCs w:val="24"/>
            <w:lang w:eastAsia="ru-RU"/>
            <w14:ligatures w14:val="standardContextual"/>
          </w:rPr>
          <w:tab/>
        </w:r>
        <w:r>
          <w:rPr>
            <w:rStyle w:val="1083"/>
          </w:rPr>
          <w:t xml:space="preserve">Особенности проведения многолотовой закупки</w:t>
        </w:r>
        <w:r>
          <w:tab/>
        </w:r>
        <w:r>
          <w:fldChar w:fldCharType="begin"/>
        </w:r>
        <w:r>
          <w:instrText xml:space="preserve"> PAGEREF _Toc224744338 \h </w:instrText>
        </w:r>
        <w:r>
          <w:fldChar w:fldCharType="separate"/>
        </w:r>
        <w:r>
          <w:t xml:space="preserve">50</w:t>
        </w:r>
        <w:r>
          <w:fldChar w:fldCharType="end"/>
        </w:r>
      </w:hyperlink>
      <w:r>
        <w:rPr>
          <w:rFonts w:asciiTheme="minorHAnsi" w:hAnsiTheme="minorHAnsi" w:eastAsiaTheme="minorEastAsia"/>
          <w:sz w:val="24"/>
          <w:szCs w:val="24"/>
          <w:lang w:eastAsia="ru-RU"/>
          <w14:ligatures w14:val="standardContextual"/>
        </w:rPr>
      </w:r>
      <w:r>
        <w:rPr>
          <w:rFonts w:asciiTheme="minorHAnsi" w:hAnsiTheme="minorHAnsi" w:eastAsiaTheme="minorEastAsia"/>
          <w:sz w:val="24"/>
          <w:szCs w:val="24"/>
          <w:lang w:eastAsia="ru-RU"/>
          <w14:ligatures w14:val="standardContextual"/>
        </w:rPr>
      </w:r>
    </w:p>
    <w:p>
      <w:pPr>
        <w:pStyle w:val="1085"/>
        <w:rPr>
          <w:rFonts w:asciiTheme="minorHAnsi" w:hAnsiTheme="minorHAnsi" w:eastAsiaTheme="minorEastAsia"/>
          <w:sz w:val="24"/>
          <w:szCs w:val="24"/>
          <w:lang w:eastAsia="ru-RU"/>
          <w14:ligatures w14:val="standardContextual"/>
        </w:rPr>
      </w:pPr>
      <w:r/>
      <w:hyperlink w:tooltip="#_Toc224744339" w:anchor="_Toc224744339" w:history="1">
        <w:r>
          <w:rPr>
            <w:rStyle w:val="1083"/>
          </w:rPr>
          <w:t xml:space="preserve">4.19</w:t>
        </w:r>
        <w:r>
          <w:rPr>
            <w:rFonts w:asciiTheme="minorHAnsi" w:hAnsiTheme="minorHAnsi" w:eastAsiaTheme="minorEastAsia"/>
            <w:sz w:val="24"/>
            <w:szCs w:val="24"/>
            <w:lang w:eastAsia="ru-RU"/>
            <w14:ligatures w14:val="standardContextual"/>
          </w:rPr>
          <w:tab/>
        </w:r>
        <w:r>
          <w:rPr>
            <w:rStyle w:val="1083"/>
          </w:rPr>
          <w:t xml:space="preserve">Особенности проведения закупки с выбором нескольких победителей</w:t>
        </w:r>
        <w:r>
          <w:tab/>
        </w:r>
        <w:r>
          <w:fldChar w:fldCharType="begin"/>
        </w:r>
        <w:r>
          <w:instrText xml:space="preserve"> PAGEREF _Toc224744339 \h </w:instrText>
        </w:r>
        <w:r>
          <w:fldChar w:fldCharType="separate"/>
        </w:r>
        <w:r>
          <w:t xml:space="preserve">51</w:t>
        </w:r>
        <w:r>
          <w:fldChar w:fldCharType="end"/>
        </w:r>
      </w:hyperlink>
      <w:r>
        <w:rPr>
          <w:rFonts w:asciiTheme="minorHAnsi" w:hAnsiTheme="minorHAnsi" w:eastAsiaTheme="minorEastAsia"/>
          <w:sz w:val="24"/>
          <w:szCs w:val="24"/>
          <w:lang w:eastAsia="ru-RU"/>
          <w14:ligatures w14:val="standardContextual"/>
        </w:rPr>
      </w:r>
      <w:r>
        <w:rPr>
          <w:rFonts w:asciiTheme="minorHAnsi" w:hAnsiTheme="minorHAnsi" w:eastAsiaTheme="minorEastAsia"/>
          <w:sz w:val="24"/>
          <w:szCs w:val="24"/>
          <w:lang w:eastAsia="ru-RU"/>
          <w14:ligatures w14:val="standardContextual"/>
        </w:rPr>
      </w:r>
    </w:p>
    <w:p>
      <w:pPr>
        <w:pStyle w:val="1086"/>
        <w:rPr>
          <w:rFonts w:asciiTheme="minorHAnsi" w:hAnsiTheme="minorHAnsi" w:eastAsiaTheme="minorEastAsia"/>
          <w:b w:val="0"/>
          <w:caps w:val="0"/>
          <w:sz w:val="24"/>
          <w:szCs w:val="24"/>
          <w:lang w:eastAsia="ru-RU"/>
          <w14:ligatures w14:val="standardContextual"/>
        </w:rPr>
      </w:pPr>
      <w:r/>
      <w:hyperlink w:tooltip="#_Toc224744340" w:anchor="_Toc224744340" w:history="1">
        <w:r>
          <w:rPr>
            <w:rStyle w:val="1083"/>
          </w:rPr>
          <w:t xml:space="preserve">5.</w:t>
        </w:r>
        <w:r>
          <w:rPr>
            <w:rFonts w:asciiTheme="minorHAnsi" w:hAnsiTheme="minorHAnsi" w:eastAsiaTheme="minorEastAsia"/>
            <w:b w:val="0"/>
            <w:caps w:val="0"/>
            <w:sz w:val="24"/>
            <w:szCs w:val="24"/>
            <w:lang w:eastAsia="ru-RU"/>
            <w14:ligatures w14:val="standardContextual"/>
          </w:rPr>
          <w:tab/>
        </w:r>
        <w:r>
          <w:rPr>
            <w:rStyle w:val="1083"/>
          </w:rPr>
          <w:t xml:space="preserve">Порядок заключения Договора</w:t>
        </w:r>
        <w:r>
          <w:tab/>
        </w:r>
        <w:r>
          <w:fldChar w:fldCharType="begin"/>
        </w:r>
        <w:r>
          <w:instrText xml:space="preserve"> PAGEREF _Toc224744340 \h </w:instrText>
        </w:r>
        <w:r>
          <w:fldChar w:fldCharType="separate"/>
        </w:r>
        <w:r>
          <w:t xml:space="preserve">52</w:t>
        </w:r>
        <w:r>
          <w:fldChar w:fldCharType="end"/>
        </w:r>
      </w:hyperlink>
      <w:r>
        <w:rPr>
          <w:rFonts w:asciiTheme="minorHAnsi" w:hAnsiTheme="minorHAnsi" w:eastAsiaTheme="minorEastAsia"/>
          <w:b w:val="0"/>
          <w:caps w:val="0"/>
          <w:sz w:val="24"/>
          <w:szCs w:val="24"/>
          <w:lang w:eastAsia="ru-RU"/>
          <w14:ligatures w14:val="standardContextual"/>
        </w:rPr>
      </w:r>
      <w:r>
        <w:rPr>
          <w:rFonts w:asciiTheme="minorHAnsi" w:hAnsiTheme="minorHAnsi" w:eastAsiaTheme="minorEastAsia"/>
          <w:b w:val="0"/>
          <w:caps w:val="0"/>
          <w:sz w:val="24"/>
          <w:szCs w:val="24"/>
          <w:lang w:eastAsia="ru-RU"/>
          <w14:ligatures w14:val="standardContextual"/>
        </w:rPr>
      </w:r>
    </w:p>
    <w:p>
      <w:pPr>
        <w:pStyle w:val="1085"/>
        <w:rPr>
          <w:rFonts w:asciiTheme="minorHAnsi" w:hAnsiTheme="minorHAnsi" w:eastAsiaTheme="minorEastAsia"/>
          <w:sz w:val="24"/>
          <w:szCs w:val="24"/>
          <w:lang w:eastAsia="ru-RU"/>
          <w14:ligatures w14:val="standardContextual"/>
        </w:rPr>
      </w:pPr>
      <w:r/>
      <w:hyperlink w:tooltip="#_Toc224744341" w:anchor="_Toc224744341" w:history="1">
        <w:r>
          <w:rPr>
            <w:rStyle w:val="1083"/>
          </w:rPr>
          <w:t xml:space="preserve">5.1</w:t>
        </w:r>
        <w:r>
          <w:rPr>
            <w:rFonts w:asciiTheme="minorHAnsi" w:hAnsiTheme="minorHAnsi" w:eastAsiaTheme="minorEastAsia"/>
            <w:sz w:val="24"/>
            <w:szCs w:val="24"/>
            <w:lang w:eastAsia="ru-RU"/>
            <w14:ligatures w14:val="standardContextual"/>
          </w:rPr>
          <w:tab/>
        </w:r>
        <w:r>
          <w:rPr>
            <w:rStyle w:val="1083"/>
          </w:rPr>
          <w:t xml:space="preserve">Общие положения</w:t>
        </w:r>
        <w:r>
          <w:tab/>
        </w:r>
        <w:r>
          <w:fldChar w:fldCharType="begin"/>
        </w:r>
        <w:r>
          <w:instrText xml:space="preserve"> PAGEREF _Toc224744341 \h </w:instrText>
        </w:r>
        <w:r>
          <w:fldChar w:fldCharType="separate"/>
        </w:r>
        <w:r>
          <w:t xml:space="preserve">52</w:t>
        </w:r>
        <w:r>
          <w:fldChar w:fldCharType="end"/>
        </w:r>
      </w:hyperlink>
      <w:r>
        <w:rPr>
          <w:rFonts w:asciiTheme="minorHAnsi" w:hAnsiTheme="minorHAnsi" w:eastAsiaTheme="minorEastAsia"/>
          <w:sz w:val="24"/>
          <w:szCs w:val="24"/>
          <w:lang w:eastAsia="ru-RU"/>
          <w14:ligatures w14:val="standardContextual"/>
        </w:rPr>
      </w:r>
      <w:r>
        <w:rPr>
          <w:rFonts w:asciiTheme="minorHAnsi" w:hAnsiTheme="minorHAnsi" w:eastAsiaTheme="minorEastAsia"/>
          <w:sz w:val="24"/>
          <w:szCs w:val="24"/>
          <w:lang w:eastAsia="ru-RU"/>
          <w14:ligatures w14:val="standardContextual"/>
        </w:rPr>
      </w:r>
    </w:p>
    <w:p>
      <w:pPr>
        <w:pStyle w:val="1085"/>
        <w:rPr>
          <w:rFonts w:asciiTheme="minorHAnsi" w:hAnsiTheme="minorHAnsi" w:eastAsiaTheme="minorEastAsia"/>
          <w:sz w:val="24"/>
          <w:szCs w:val="24"/>
          <w:lang w:eastAsia="ru-RU"/>
          <w14:ligatures w14:val="standardContextual"/>
        </w:rPr>
      </w:pPr>
      <w:r/>
      <w:hyperlink w:tooltip="#_Toc224744342" w:anchor="_Toc224744342" w:history="1">
        <w:r>
          <w:rPr>
            <w:rStyle w:val="1083"/>
          </w:rPr>
          <w:t xml:space="preserve">5.2</w:t>
        </w:r>
        <w:r>
          <w:rPr>
            <w:rFonts w:asciiTheme="minorHAnsi" w:hAnsiTheme="minorHAnsi" w:eastAsiaTheme="minorEastAsia"/>
            <w:sz w:val="24"/>
            <w:szCs w:val="24"/>
            <w:lang w:eastAsia="ru-RU"/>
            <w14:ligatures w14:val="standardContextual"/>
          </w:rPr>
          <w:tab/>
        </w:r>
        <w:r>
          <w:rPr>
            <w:rStyle w:val="1083"/>
          </w:rPr>
          <w:t xml:space="preserve">Заключение Договора</w:t>
        </w:r>
        <w:r>
          <w:tab/>
        </w:r>
        <w:r>
          <w:fldChar w:fldCharType="begin"/>
        </w:r>
        <w:r>
          <w:instrText xml:space="preserve"> PAGEREF _Toc224744342 \h </w:instrText>
        </w:r>
        <w:r>
          <w:fldChar w:fldCharType="separate"/>
        </w:r>
        <w:r>
          <w:t xml:space="preserve">52</w:t>
        </w:r>
        <w:r>
          <w:fldChar w:fldCharType="end"/>
        </w:r>
      </w:hyperlink>
      <w:r>
        <w:rPr>
          <w:rFonts w:asciiTheme="minorHAnsi" w:hAnsiTheme="minorHAnsi" w:eastAsiaTheme="minorEastAsia"/>
          <w:sz w:val="24"/>
          <w:szCs w:val="24"/>
          <w:lang w:eastAsia="ru-RU"/>
          <w14:ligatures w14:val="standardContextual"/>
        </w:rPr>
      </w:r>
      <w:r>
        <w:rPr>
          <w:rFonts w:asciiTheme="minorHAnsi" w:hAnsiTheme="minorHAnsi" w:eastAsiaTheme="minorEastAsia"/>
          <w:sz w:val="24"/>
          <w:szCs w:val="24"/>
          <w:lang w:eastAsia="ru-RU"/>
          <w14:ligatures w14:val="standardContextual"/>
        </w:rPr>
      </w:r>
    </w:p>
    <w:p>
      <w:pPr>
        <w:pStyle w:val="1085"/>
        <w:rPr>
          <w:rFonts w:asciiTheme="minorHAnsi" w:hAnsiTheme="minorHAnsi" w:eastAsiaTheme="minorEastAsia"/>
          <w:sz w:val="24"/>
          <w:szCs w:val="24"/>
          <w:lang w:eastAsia="ru-RU"/>
          <w14:ligatures w14:val="standardContextual"/>
        </w:rPr>
      </w:pPr>
      <w:r/>
      <w:hyperlink w:tooltip="#_Toc224744343" w:anchor="_Toc224744343" w:history="1">
        <w:r>
          <w:rPr>
            <w:rStyle w:val="1083"/>
          </w:rPr>
          <w:t xml:space="preserve">5.3</w:t>
        </w:r>
        <w:r>
          <w:rPr>
            <w:rFonts w:asciiTheme="minorHAnsi" w:hAnsiTheme="minorHAnsi" w:eastAsiaTheme="minorEastAsia"/>
            <w:sz w:val="24"/>
            <w:szCs w:val="24"/>
            <w:lang w:eastAsia="ru-RU"/>
            <w14:ligatures w14:val="standardContextual"/>
          </w:rPr>
          <w:tab/>
        </w:r>
        <w:r>
          <w:rPr>
            <w:rStyle w:val="1083"/>
          </w:rPr>
          <w:t xml:space="preserve">Уклонение Победителя от заключения Договора</w:t>
        </w:r>
        <w:r>
          <w:tab/>
        </w:r>
        <w:r>
          <w:fldChar w:fldCharType="begin"/>
        </w:r>
        <w:r>
          <w:instrText xml:space="preserve"> PAGEREF _Toc224744343 \h </w:instrText>
        </w:r>
        <w:r>
          <w:fldChar w:fldCharType="separate"/>
        </w:r>
        <w:r>
          <w:t xml:space="preserve">54</w:t>
        </w:r>
        <w:r>
          <w:fldChar w:fldCharType="end"/>
        </w:r>
      </w:hyperlink>
      <w:r>
        <w:rPr>
          <w:rFonts w:asciiTheme="minorHAnsi" w:hAnsiTheme="minorHAnsi" w:eastAsiaTheme="minorEastAsia"/>
          <w:sz w:val="24"/>
          <w:szCs w:val="24"/>
          <w:lang w:eastAsia="ru-RU"/>
          <w14:ligatures w14:val="standardContextual"/>
        </w:rPr>
      </w:r>
      <w:r>
        <w:rPr>
          <w:rFonts w:asciiTheme="minorHAnsi" w:hAnsiTheme="minorHAnsi" w:eastAsiaTheme="minorEastAsia"/>
          <w:sz w:val="24"/>
          <w:szCs w:val="24"/>
          <w:lang w:eastAsia="ru-RU"/>
          <w14:ligatures w14:val="standardContextual"/>
        </w:rPr>
      </w:r>
    </w:p>
    <w:p>
      <w:pPr>
        <w:pStyle w:val="1086"/>
        <w:rPr>
          <w:rFonts w:asciiTheme="minorHAnsi" w:hAnsiTheme="minorHAnsi" w:eastAsiaTheme="minorEastAsia"/>
          <w:b w:val="0"/>
          <w:caps w:val="0"/>
          <w:sz w:val="24"/>
          <w:szCs w:val="24"/>
          <w:lang w:eastAsia="ru-RU"/>
          <w14:ligatures w14:val="standardContextual"/>
        </w:rPr>
      </w:pPr>
      <w:r/>
      <w:hyperlink w:tooltip="#_Toc224744344" w:anchor="_Toc224744344" w:history="1">
        <w:r>
          <w:rPr>
            <w:rStyle w:val="1083"/>
          </w:rPr>
          <w:t xml:space="preserve">6.</w:t>
        </w:r>
        <w:r>
          <w:rPr>
            <w:rFonts w:asciiTheme="minorHAnsi" w:hAnsiTheme="minorHAnsi" w:eastAsiaTheme="minorEastAsia"/>
            <w:b w:val="0"/>
            <w:caps w:val="0"/>
            <w:sz w:val="24"/>
            <w:szCs w:val="24"/>
            <w:lang w:eastAsia="ru-RU"/>
            <w14:ligatures w14:val="standardContextual"/>
          </w:rPr>
          <w:tab/>
        </w:r>
        <w:r>
          <w:rPr>
            <w:rStyle w:val="1083"/>
          </w:rPr>
          <w:t xml:space="preserve">Приложение № 1 – Технические требования</w:t>
        </w:r>
        <w:r>
          <w:tab/>
        </w:r>
        <w:r>
          <w:fldChar w:fldCharType="begin"/>
        </w:r>
        <w:r>
          <w:instrText xml:space="preserve"> PAGEREF _Toc224744344 \h </w:instrText>
        </w:r>
        <w:r>
          <w:fldChar w:fldCharType="separate"/>
        </w:r>
        <w:r>
          <w:t xml:space="preserve">56</w:t>
        </w:r>
        <w:r>
          <w:fldChar w:fldCharType="end"/>
        </w:r>
      </w:hyperlink>
      <w:r>
        <w:rPr>
          <w:rFonts w:asciiTheme="minorHAnsi" w:hAnsiTheme="minorHAnsi" w:eastAsiaTheme="minorEastAsia"/>
          <w:b w:val="0"/>
          <w:caps w:val="0"/>
          <w:sz w:val="24"/>
          <w:szCs w:val="24"/>
          <w:lang w:eastAsia="ru-RU"/>
          <w14:ligatures w14:val="standardContextual"/>
        </w:rPr>
      </w:r>
      <w:r>
        <w:rPr>
          <w:rFonts w:asciiTheme="minorHAnsi" w:hAnsiTheme="minorHAnsi" w:eastAsiaTheme="minorEastAsia"/>
          <w:b w:val="0"/>
          <w:caps w:val="0"/>
          <w:sz w:val="24"/>
          <w:szCs w:val="24"/>
          <w:lang w:eastAsia="ru-RU"/>
          <w14:ligatures w14:val="standardContextual"/>
        </w:rPr>
      </w:r>
    </w:p>
    <w:p>
      <w:pPr>
        <w:pStyle w:val="1085"/>
        <w:rPr>
          <w:rFonts w:asciiTheme="minorHAnsi" w:hAnsiTheme="minorHAnsi" w:eastAsiaTheme="minorEastAsia"/>
          <w:sz w:val="24"/>
          <w:szCs w:val="24"/>
          <w:lang w:eastAsia="ru-RU"/>
          <w14:ligatures w14:val="standardContextual"/>
        </w:rPr>
      </w:pPr>
      <w:r/>
      <w:hyperlink w:tooltip="#_Toc224744345" w:anchor="_Toc224744345" w:history="1">
        <w:r>
          <w:rPr>
            <w:rStyle w:val="1083"/>
          </w:rPr>
          <w:t xml:space="preserve">6.1</w:t>
        </w:r>
        <w:r>
          <w:rPr>
            <w:rFonts w:asciiTheme="minorHAnsi" w:hAnsiTheme="minorHAnsi" w:eastAsiaTheme="minorEastAsia"/>
            <w:sz w:val="24"/>
            <w:szCs w:val="24"/>
            <w:lang w:eastAsia="ru-RU"/>
            <w14:ligatures w14:val="standardContextual"/>
          </w:rPr>
          <w:tab/>
        </w:r>
        <w:r>
          <w:rPr>
            <w:rStyle w:val="1083"/>
          </w:rPr>
          <w:t xml:space="preserve">Пояснения к Техническим требованиям</w:t>
        </w:r>
        <w:r>
          <w:tab/>
        </w:r>
        <w:r>
          <w:fldChar w:fldCharType="begin"/>
        </w:r>
        <w:r>
          <w:instrText xml:space="preserve"> PAGEREF _Toc224744345 \h </w:instrText>
        </w:r>
        <w:r>
          <w:fldChar w:fldCharType="separate"/>
        </w:r>
        <w:r>
          <w:t xml:space="preserve">56</w:t>
        </w:r>
        <w:r>
          <w:fldChar w:fldCharType="end"/>
        </w:r>
      </w:hyperlink>
      <w:r>
        <w:rPr>
          <w:rFonts w:asciiTheme="minorHAnsi" w:hAnsiTheme="minorHAnsi" w:eastAsiaTheme="minorEastAsia"/>
          <w:sz w:val="24"/>
          <w:szCs w:val="24"/>
          <w:lang w:eastAsia="ru-RU"/>
          <w14:ligatures w14:val="standardContextual"/>
        </w:rPr>
      </w:r>
      <w:r>
        <w:rPr>
          <w:rFonts w:asciiTheme="minorHAnsi" w:hAnsiTheme="minorHAnsi" w:eastAsiaTheme="minorEastAsia"/>
          <w:sz w:val="24"/>
          <w:szCs w:val="24"/>
          <w:lang w:eastAsia="ru-RU"/>
          <w14:ligatures w14:val="standardContextual"/>
        </w:rPr>
      </w:r>
    </w:p>
    <w:p>
      <w:pPr>
        <w:pStyle w:val="1086"/>
        <w:rPr>
          <w:rFonts w:asciiTheme="minorHAnsi" w:hAnsiTheme="minorHAnsi" w:eastAsiaTheme="minorEastAsia"/>
          <w:b w:val="0"/>
          <w:caps w:val="0"/>
          <w:sz w:val="24"/>
          <w:szCs w:val="24"/>
          <w:lang w:eastAsia="ru-RU"/>
          <w14:ligatures w14:val="standardContextual"/>
        </w:rPr>
      </w:pPr>
      <w:r/>
      <w:hyperlink w:tooltip="#_Toc224744346" w:anchor="_Toc224744346" w:history="1">
        <w:r>
          <w:rPr>
            <w:rStyle w:val="1083"/>
          </w:rPr>
          <w:t xml:space="preserve">7.</w:t>
        </w:r>
        <w:r>
          <w:rPr>
            <w:rFonts w:asciiTheme="minorHAnsi" w:hAnsiTheme="minorHAnsi" w:eastAsiaTheme="minorEastAsia"/>
            <w:b w:val="0"/>
            <w:caps w:val="0"/>
            <w:sz w:val="24"/>
            <w:szCs w:val="24"/>
            <w:lang w:eastAsia="ru-RU"/>
            <w14:ligatures w14:val="standardContextual"/>
          </w:rPr>
          <w:tab/>
        </w:r>
        <w:r>
          <w:rPr>
            <w:rStyle w:val="1083"/>
          </w:rPr>
          <w:t xml:space="preserve">Приложение № 2 – Проект договора</w:t>
        </w:r>
        <w:r>
          <w:tab/>
        </w:r>
        <w:r>
          <w:fldChar w:fldCharType="begin"/>
        </w:r>
        <w:r>
          <w:instrText xml:space="preserve"> PAGEREF _Toc224744346 \h </w:instrText>
        </w:r>
        <w:r>
          <w:fldChar w:fldCharType="separate"/>
        </w:r>
        <w:r>
          <w:t xml:space="preserve">57</w:t>
        </w:r>
        <w:r>
          <w:fldChar w:fldCharType="end"/>
        </w:r>
      </w:hyperlink>
      <w:r>
        <w:rPr>
          <w:rFonts w:asciiTheme="minorHAnsi" w:hAnsiTheme="minorHAnsi" w:eastAsiaTheme="minorEastAsia"/>
          <w:b w:val="0"/>
          <w:caps w:val="0"/>
          <w:sz w:val="24"/>
          <w:szCs w:val="24"/>
          <w:lang w:eastAsia="ru-RU"/>
          <w14:ligatures w14:val="standardContextual"/>
        </w:rPr>
      </w:r>
      <w:r>
        <w:rPr>
          <w:rFonts w:asciiTheme="minorHAnsi" w:hAnsiTheme="minorHAnsi" w:eastAsiaTheme="minorEastAsia"/>
          <w:b w:val="0"/>
          <w:caps w:val="0"/>
          <w:sz w:val="24"/>
          <w:szCs w:val="24"/>
          <w:lang w:eastAsia="ru-RU"/>
          <w14:ligatures w14:val="standardContextual"/>
        </w:rPr>
      </w:r>
    </w:p>
    <w:p>
      <w:pPr>
        <w:pStyle w:val="1085"/>
        <w:rPr>
          <w:rFonts w:asciiTheme="minorHAnsi" w:hAnsiTheme="minorHAnsi" w:eastAsiaTheme="minorEastAsia"/>
          <w:sz w:val="24"/>
          <w:szCs w:val="24"/>
          <w:lang w:eastAsia="ru-RU"/>
          <w14:ligatures w14:val="standardContextual"/>
        </w:rPr>
      </w:pPr>
      <w:r/>
      <w:hyperlink w:tooltip="#_Toc224744347" w:anchor="_Toc224744347" w:history="1">
        <w:r>
          <w:rPr>
            <w:rStyle w:val="1083"/>
          </w:rPr>
          <w:t xml:space="preserve">7.1</w:t>
        </w:r>
        <w:r>
          <w:rPr>
            <w:rFonts w:asciiTheme="minorHAnsi" w:hAnsiTheme="minorHAnsi" w:eastAsiaTheme="minorEastAsia"/>
            <w:sz w:val="24"/>
            <w:szCs w:val="24"/>
            <w:lang w:eastAsia="ru-RU"/>
            <w14:ligatures w14:val="standardContextual"/>
          </w:rPr>
          <w:tab/>
        </w:r>
        <w:r>
          <w:rPr>
            <w:rStyle w:val="1083"/>
          </w:rPr>
          <w:t xml:space="preserve">Пояснения к Проекту договора</w:t>
        </w:r>
        <w:r>
          <w:tab/>
        </w:r>
        <w:r>
          <w:fldChar w:fldCharType="begin"/>
        </w:r>
        <w:r>
          <w:instrText xml:space="preserve"> PAGEREF _Toc224744347 \h </w:instrText>
        </w:r>
        <w:r>
          <w:fldChar w:fldCharType="separate"/>
        </w:r>
        <w:r>
          <w:t xml:space="preserve">57</w:t>
        </w:r>
        <w:r>
          <w:fldChar w:fldCharType="end"/>
        </w:r>
      </w:hyperlink>
      <w:r>
        <w:rPr>
          <w:rFonts w:asciiTheme="minorHAnsi" w:hAnsiTheme="minorHAnsi" w:eastAsiaTheme="minorEastAsia"/>
          <w:sz w:val="24"/>
          <w:szCs w:val="24"/>
          <w:lang w:eastAsia="ru-RU"/>
          <w14:ligatures w14:val="standardContextual"/>
        </w:rPr>
      </w:r>
      <w:r>
        <w:rPr>
          <w:rFonts w:asciiTheme="minorHAnsi" w:hAnsiTheme="minorHAnsi" w:eastAsiaTheme="minorEastAsia"/>
          <w:sz w:val="24"/>
          <w:szCs w:val="24"/>
          <w:lang w:eastAsia="ru-RU"/>
          <w14:ligatures w14:val="standardContextual"/>
        </w:rPr>
      </w:r>
    </w:p>
    <w:p>
      <w:pPr>
        <w:pStyle w:val="1086"/>
        <w:rPr>
          <w:rFonts w:asciiTheme="minorHAnsi" w:hAnsiTheme="minorHAnsi" w:eastAsiaTheme="minorEastAsia"/>
          <w:b w:val="0"/>
          <w:caps w:val="0"/>
          <w:sz w:val="24"/>
          <w:szCs w:val="24"/>
          <w:lang w:eastAsia="ru-RU"/>
          <w14:ligatures w14:val="standardContextual"/>
        </w:rPr>
      </w:pPr>
      <w:r/>
      <w:hyperlink w:tooltip="#_Toc224744348" w:anchor="_Toc224744348" w:history="1">
        <w:r>
          <w:rPr>
            <w:rStyle w:val="1083"/>
          </w:rPr>
          <w:t xml:space="preserve">8.</w:t>
        </w:r>
        <w:r>
          <w:rPr>
            <w:rFonts w:asciiTheme="minorHAnsi" w:hAnsiTheme="minorHAnsi" w:eastAsiaTheme="minorEastAsia"/>
            <w:b w:val="0"/>
            <w:caps w:val="0"/>
            <w:sz w:val="24"/>
            <w:szCs w:val="24"/>
            <w:lang w:eastAsia="ru-RU"/>
            <w14:ligatures w14:val="standardContextual"/>
          </w:rPr>
          <w:tab/>
        </w:r>
        <w:r>
          <w:rPr>
            <w:rStyle w:val="1083"/>
          </w:rPr>
          <w:t xml:space="preserve">Приложение № 3 – Требования к Участникам</w:t>
        </w:r>
        <w:r>
          <w:tab/>
        </w:r>
        <w:r>
          <w:fldChar w:fldCharType="begin"/>
        </w:r>
        <w:r>
          <w:instrText xml:space="preserve"> PAGEREF _Toc224744348 \h </w:instrText>
        </w:r>
        <w:r>
          <w:fldChar w:fldCharType="separate"/>
        </w:r>
        <w:r>
          <w:t xml:space="preserve">58</w:t>
        </w:r>
        <w:r>
          <w:fldChar w:fldCharType="end"/>
        </w:r>
      </w:hyperlink>
      <w:r>
        <w:rPr>
          <w:rFonts w:asciiTheme="minorHAnsi" w:hAnsiTheme="minorHAnsi" w:eastAsiaTheme="minorEastAsia"/>
          <w:b w:val="0"/>
          <w:caps w:val="0"/>
          <w:sz w:val="24"/>
          <w:szCs w:val="24"/>
          <w:lang w:eastAsia="ru-RU"/>
          <w14:ligatures w14:val="standardContextual"/>
        </w:rPr>
      </w:r>
      <w:r>
        <w:rPr>
          <w:rFonts w:asciiTheme="minorHAnsi" w:hAnsiTheme="minorHAnsi" w:eastAsiaTheme="minorEastAsia"/>
          <w:b w:val="0"/>
          <w:caps w:val="0"/>
          <w:sz w:val="24"/>
          <w:szCs w:val="24"/>
          <w:lang w:eastAsia="ru-RU"/>
          <w14:ligatures w14:val="standardContextual"/>
        </w:rPr>
      </w:r>
    </w:p>
    <w:p>
      <w:pPr>
        <w:pStyle w:val="1085"/>
        <w:rPr>
          <w:rFonts w:asciiTheme="minorHAnsi" w:hAnsiTheme="minorHAnsi" w:eastAsiaTheme="minorEastAsia"/>
          <w:sz w:val="24"/>
          <w:szCs w:val="24"/>
          <w:lang w:eastAsia="ru-RU"/>
          <w14:ligatures w14:val="standardContextual"/>
        </w:rPr>
      </w:pPr>
      <w:r/>
      <w:hyperlink w:tooltip="#_Toc224744349" w:anchor="_Toc224744349" w:history="1">
        <w:r>
          <w:rPr>
            <w:rStyle w:val="1083"/>
          </w:rPr>
          <w:t xml:space="preserve">8.1</w:t>
        </w:r>
        <w:r>
          <w:rPr>
            <w:rFonts w:asciiTheme="minorHAnsi" w:hAnsiTheme="minorHAnsi" w:eastAsiaTheme="minorEastAsia"/>
            <w:sz w:val="24"/>
            <w:szCs w:val="24"/>
            <w:lang w:eastAsia="ru-RU"/>
            <w14:ligatures w14:val="standardContextual"/>
          </w:rPr>
          <w:tab/>
        </w:r>
        <w:r>
          <w:rPr>
            <w:rStyle w:val="1083"/>
          </w:rPr>
          <w:t xml:space="preserve">Пояснения к требованиям к Участникам</w:t>
        </w:r>
        <w:r>
          <w:tab/>
        </w:r>
        <w:r>
          <w:fldChar w:fldCharType="begin"/>
        </w:r>
        <w:r>
          <w:instrText xml:space="preserve"> PAGEREF _Toc224744349 \h </w:instrText>
        </w:r>
        <w:r>
          <w:fldChar w:fldCharType="separate"/>
        </w:r>
        <w:r>
          <w:t xml:space="preserve">58</w:t>
        </w:r>
        <w:r>
          <w:fldChar w:fldCharType="end"/>
        </w:r>
      </w:hyperlink>
      <w:r>
        <w:rPr>
          <w:rFonts w:asciiTheme="minorHAnsi" w:hAnsiTheme="minorHAnsi" w:eastAsiaTheme="minorEastAsia"/>
          <w:sz w:val="24"/>
          <w:szCs w:val="24"/>
          <w:lang w:eastAsia="ru-RU"/>
          <w14:ligatures w14:val="standardContextual"/>
        </w:rPr>
      </w:r>
      <w:r>
        <w:rPr>
          <w:rFonts w:asciiTheme="minorHAnsi" w:hAnsiTheme="minorHAnsi" w:eastAsiaTheme="minorEastAsia"/>
          <w:sz w:val="24"/>
          <w:szCs w:val="24"/>
          <w:lang w:eastAsia="ru-RU"/>
          <w14:ligatures w14:val="standardContextual"/>
        </w:rPr>
      </w:r>
    </w:p>
    <w:p>
      <w:pPr>
        <w:pStyle w:val="1085"/>
        <w:rPr>
          <w:rFonts w:asciiTheme="minorHAnsi" w:hAnsiTheme="minorHAnsi" w:eastAsiaTheme="minorEastAsia"/>
          <w:sz w:val="24"/>
          <w:szCs w:val="24"/>
          <w:lang w:eastAsia="ru-RU"/>
          <w14:ligatures w14:val="standardContextual"/>
        </w:rPr>
      </w:pPr>
      <w:r/>
      <w:hyperlink w:tooltip="#_Toc224744350" w:anchor="_Toc224744350" w:history="1">
        <w:r>
          <w:rPr>
            <w:rStyle w:val="1083"/>
          </w:rPr>
          <w:t xml:space="preserve">8.2</w:t>
        </w:r>
        <w:r>
          <w:rPr>
            <w:rFonts w:asciiTheme="minorHAnsi" w:hAnsiTheme="minorHAnsi" w:eastAsiaTheme="minorEastAsia"/>
            <w:sz w:val="24"/>
            <w:szCs w:val="24"/>
            <w:lang w:eastAsia="ru-RU"/>
            <w14:ligatures w14:val="standardContextual"/>
          </w:rPr>
          <w:tab/>
        </w:r>
        <w:r>
          <w:rPr>
            <w:rStyle w:val="1083"/>
          </w:rPr>
          <w:t xml:space="preserve">Обязательные требования</w:t>
        </w:r>
        <w:r>
          <w:tab/>
        </w:r>
        <w:r>
          <w:fldChar w:fldCharType="begin"/>
        </w:r>
        <w:r>
          <w:instrText xml:space="preserve"> PAGEREF _Toc224744350 \h </w:instrText>
        </w:r>
        <w:r>
          <w:fldChar w:fldCharType="separate"/>
        </w:r>
        <w:r>
          <w:t xml:space="preserve">58</w:t>
        </w:r>
        <w:r>
          <w:fldChar w:fldCharType="end"/>
        </w:r>
      </w:hyperlink>
      <w:r>
        <w:rPr>
          <w:rFonts w:asciiTheme="minorHAnsi" w:hAnsiTheme="minorHAnsi" w:eastAsiaTheme="minorEastAsia"/>
          <w:sz w:val="24"/>
          <w:szCs w:val="24"/>
          <w:lang w:eastAsia="ru-RU"/>
          <w14:ligatures w14:val="standardContextual"/>
        </w:rPr>
      </w:r>
      <w:r>
        <w:rPr>
          <w:rFonts w:asciiTheme="minorHAnsi" w:hAnsiTheme="minorHAnsi" w:eastAsiaTheme="minorEastAsia"/>
          <w:sz w:val="24"/>
          <w:szCs w:val="24"/>
          <w:lang w:eastAsia="ru-RU"/>
          <w14:ligatures w14:val="standardContextual"/>
        </w:rPr>
      </w:r>
    </w:p>
    <w:p>
      <w:pPr>
        <w:pStyle w:val="1085"/>
        <w:rPr>
          <w:rFonts w:asciiTheme="minorHAnsi" w:hAnsiTheme="minorHAnsi" w:eastAsiaTheme="minorEastAsia"/>
          <w:sz w:val="24"/>
          <w:szCs w:val="24"/>
          <w:lang w:eastAsia="ru-RU"/>
          <w14:ligatures w14:val="standardContextual"/>
        </w:rPr>
      </w:pPr>
      <w:r/>
      <w:hyperlink w:tooltip="#_Toc224744351" w:anchor="_Toc224744351" w:history="1">
        <w:r>
          <w:rPr>
            <w:rStyle w:val="1083"/>
          </w:rPr>
          <w:t xml:space="preserve">8.3</w:t>
        </w:r>
        <w:r>
          <w:rPr>
            <w:rFonts w:asciiTheme="minorHAnsi" w:hAnsiTheme="minorHAnsi" w:eastAsiaTheme="minorEastAsia"/>
            <w:sz w:val="24"/>
            <w:szCs w:val="24"/>
            <w:lang w:eastAsia="ru-RU"/>
            <w14:ligatures w14:val="standardContextual"/>
          </w:rPr>
          <w:tab/>
        </w:r>
        <w:r>
          <w:rPr>
            <w:rStyle w:val="1083"/>
          </w:rPr>
          <w:t xml:space="preserve">Специальные требования</w:t>
        </w:r>
        <w:r>
          <w:tab/>
        </w:r>
        <w:r>
          <w:fldChar w:fldCharType="begin"/>
        </w:r>
        <w:r>
          <w:instrText xml:space="preserve"> PAGEREF _Toc224744351 \h </w:instrText>
        </w:r>
        <w:r>
          <w:fldChar w:fldCharType="separate"/>
        </w:r>
        <w:r>
          <w:t xml:space="preserve">62</w:t>
        </w:r>
        <w:r>
          <w:fldChar w:fldCharType="end"/>
        </w:r>
      </w:hyperlink>
      <w:r>
        <w:rPr>
          <w:rFonts w:asciiTheme="minorHAnsi" w:hAnsiTheme="minorHAnsi" w:eastAsiaTheme="minorEastAsia"/>
          <w:sz w:val="24"/>
          <w:szCs w:val="24"/>
          <w:lang w:eastAsia="ru-RU"/>
          <w14:ligatures w14:val="standardContextual"/>
        </w:rPr>
      </w:r>
      <w:r>
        <w:rPr>
          <w:rFonts w:asciiTheme="minorHAnsi" w:hAnsiTheme="minorHAnsi" w:eastAsiaTheme="minorEastAsia"/>
          <w:sz w:val="24"/>
          <w:szCs w:val="24"/>
          <w:lang w:eastAsia="ru-RU"/>
          <w14:ligatures w14:val="standardContextual"/>
        </w:rPr>
      </w:r>
    </w:p>
    <w:p>
      <w:pPr>
        <w:pStyle w:val="1085"/>
        <w:rPr>
          <w:rFonts w:asciiTheme="minorHAnsi" w:hAnsiTheme="minorHAnsi" w:eastAsiaTheme="minorEastAsia"/>
          <w:sz w:val="24"/>
          <w:szCs w:val="24"/>
          <w:lang w:eastAsia="ru-RU"/>
          <w14:ligatures w14:val="standardContextual"/>
        </w:rPr>
      </w:pPr>
      <w:r/>
      <w:hyperlink w:tooltip="#_Toc224744365" w:anchor="_Toc224744365" w:history="1">
        <w:r>
          <w:rPr>
            <w:rStyle w:val="1083"/>
          </w:rPr>
          <w:t xml:space="preserve">8.4</w:t>
        </w:r>
        <w:r>
          <w:rPr>
            <w:rFonts w:asciiTheme="minorHAnsi" w:hAnsiTheme="minorHAnsi" w:eastAsiaTheme="minorEastAsia"/>
            <w:sz w:val="24"/>
            <w:szCs w:val="24"/>
            <w:lang w:eastAsia="ru-RU"/>
            <w14:ligatures w14:val="standardContextual"/>
          </w:rPr>
          <w:tab/>
        </w:r>
        <w:r>
          <w:rPr>
            <w:rStyle w:val="1083"/>
          </w:rPr>
          <w:t xml:space="preserve">Дополнительные требования к Генеральным подрядчикам</w:t>
        </w:r>
        <w:r>
          <w:tab/>
        </w:r>
        <w:r>
          <w:fldChar w:fldCharType="begin"/>
        </w:r>
        <w:r>
          <w:instrText xml:space="preserve"> PAGEREF _Toc224744365 \h </w:instrText>
        </w:r>
        <w:r>
          <w:fldChar w:fldCharType="separate"/>
        </w:r>
        <w:r>
          <w:t xml:space="preserve">63</w:t>
        </w:r>
        <w:r>
          <w:fldChar w:fldCharType="end"/>
        </w:r>
      </w:hyperlink>
      <w:r>
        <w:rPr>
          <w:rFonts w:asciiTheme="minorHAnsi" w:hAnsiTheme="minorHAnsi" w:eastAsiaTheme="minorEastAsia"/>
          <w:sz w:val="24"/>
          <w:szCs w:val="24"/>
          <w:lang w:eastAsia="ru-RU"/>
          <w14:ligatures w14:val="standardContextual"/>
        </w:rPr>
      </w:r>
      <w:r>
        <w:rPr>
          <w:rFonts w:asciiTheme="minorHAnsi" w:hAnsiTheme="minorHAnsi" w:eastAsiaTheme="minorEastAsia"/>
          <w:sz w:val="24"/>
          <w:szCs w:val="24"/>
          <w:lang w:eastAsia="ru-RU"/>
          <w14:ligatures w14:val="standardContextual"/>
        </w:rPr>
      </w:r>
    </w:p>
    <w:p>
      <w:pPr>
        <w:pStyle w:val="1086"/>
        <w:rPr>
          <w:rFonts w:asciiTheme="minorHAnsi" w:hAnsiTheme="minorHAnsi" w:eastAsiaTheme="minorEastAsia"/>
          <w:b w:val="0"/>
          <w:caps w:val="0"/>
          <w:sz w:val="24"/>
          <w:szCs w:val="24"/>
          <w:lang w:eastAsia="ru-RU"/>
          <w14:ligatures w14:val="standardContextual"/>
        </w:rPr>
      </w:pPr>
      <w:r/>
      <w:hyperlink w:tooltip="#_Toc224744366" w:anchor="_Toc224744366" w:history="1">
        <w:r>
          <w:rPr>
            <w:rStyle w:val="1083"/>
          </w:rPr>
          <w:t xml:space="preserve">9.</w:t>
        </w:r>
        <w:r>
          <w:rPr>
            <w:rFonts w:asciiTheme="minorHAnsi" w:hAnsiTheme="minorHAnsi" w:eastAsiaTheme="minorEastAsia"/>
            <w:b w:val="0"/>
            <w:caps w:val="0"/>
            <w:sz w:val="24"/>
            <w:szCs w:val="24"/>
            <w:lang w:eastAsia="ru-RU"/>
            <w14:ligatures w14:val="standardContextual"/>
          </w:rPr>
          <w:tab/>
        </w:r>
        <w:r>
          <w:rPr>
            <w:rStyle w:val="1083"/>
          </w:rPr>
          <w:t xml:space="preserve">Приложение № 4 – Образцы форм документов, включаемых в состав заявки</w:t>
        </w:r>
        <w:r>
          <w:tab/>
        </w:r>
        <w:r>
          <w:fldChar w:fldCharType="begin"/>
        </w:r>
        <w:r>
          <w:instrText xml:space="preserve"> PAGEREF _Toc224744366 \h </w:instrText>
        </w:r>
        <w:r>
          <w:fldChar w:fldCharType="separate"/>
        </w:r>
        <w:r>
          <w:t xml:space="preserve">65</w:t>
        </w:r>
        <w:r>
          <w:fldChar w:fldCharType="end"/>
        </w:r>
      </w:hyperlink>
      <w:r>
        <w:rPr>
          <w:rFonts w:asciiTheme="minorHAnsi" w:hAnsiTheme="minorHAnsi" w:eastAsiaTheme="minorEastAsia"/>
          <w:b w:val="0"/>
          <w:caps w:val="0"/>
          <w:sz w:val="24"/>
          <w:szCs w:val="24"/>
          <w:lang w:eastAsia="ru-RU"/>
          <w14:ligatures w14:val="standardContextual"/>
        </w:rPr>
      </w:r>
      <w:r>
        <w:rPr>
          <w:rFonts w:asciiTheme="minorHAnsi" w:hAnsiTheme="minorHAnsi" w:eastAsiaTheme="minorEastAsia"/>
          <w:b w:val="0"/>
          <w:caps w:val="0"/>
          <w:sz w:val="24"/>
          <w:szCs w:val="24"/>
          <w:lang w:eastAsia="ru-RU"/>
          <w14:ligatures w14:val="standardContextual"/>
        </w:rPr>
      </w:r>
    </w:p>
    <w:p>
      <w:pPr>
        <w:pStyle w:val="1085"/>
        <w:rPr>
          <w:rFonts w:asciiTheme="minorHAnsi" w:hAnsiTheme="minorHAnsi" w:eastAsiaTheme="minorEastAsia"/>
          <w:sz w:val="24"/>
          <w:szCs w:val="24"/>
          <w:lang w:eastAsia="ru-RU"/>
          <w14:ligatures w14:val="standardContextual"/>
        </w:rPr>
      </w:pPr>
      <w:r/>
      <w:hyperlink w:tooltip="#_Toc224744367" w:anchor="_Toc224744367" w:history="1">
        <w:r>
          <w:rPr>
            <w:rStyle w:val="1083"/>
          </w:rPr>
          <w:t xml:space="preserve">9.1</w:t>
        </w:r>
        <w:r>
          <w:rPr>
            <w:rFonts w:asciiTheme="minorHAnsi" w:hAnsiTheme="minorHAnsi" w:eastAsiaTheme="minorEastAsia"/>
            <w:sz w:val="24"/>
            <w:szCs w:val="24"/>
            <w:lang w:eastAsia="ru-RU"/>
            <w14:ligatures w14:val="standardContextual"/>
          </w:rPr>
          <w:tab/>
        </w:r>
        <w:r>
          <w:rPr>
            <w:rStyle w:val="1083"/>
          </w:rPr>
          <w:t xml:space="preserve">Пояснения к Образцам форм документов, включаемых в состав заявки</w:t>
        </w:r>
        <w:r>
          <w:tab/>
        </w:r>
        <w:r>
          <w:fldChar w:fldCharType="begin"/>
        </w:r>
        <w:r>
          <w:instrText xml:space="preserve"> PAGEREF _Toc224744367 \h </w:instrText>
        </w:r>
        <w:r>
          <w:fldChar w:fldCharType="separate"/>
        </w:r>
        <w:r>
          <w:t xml:space="preserve">65</w:t>
        </w:r>
        <w:r>
          <w:fldChar w:fldCharType="end"/>
        </w:r>
      </w:hyperlink>
      <w:r>
        <w:rPr>
          <w:rFonts w:asciiTheme="minorHAnsi" w:hAnsiTheme="minorHAnsi" w:eastAsiaTheme="minorEastAsia"/>
          <w:sz w:val="24"/>
          <w:szCs w:val="24"/>
          <w:lang w:eastAsia="ru-RU"/>
          <w14:ligatures w14:val="standardContextual"/>
        </w:rPr>
      </w:r>
      <w:r>
        <w:rPr>
          <w:rFonts w:asciiTheme="minorHAnsi" w:hAnsiTheme="minorHAnsi" w:eastAsiaTheme="minorEastAsia"/>
          <w:sz w:val="24"/>
          <w:szCs w:val="24"/>
          <w:lang w:eastAsia="ru-RU"/>
          <w14:ligatures w14:val="standardContextual"/>
        </w:rPr>
      </w:r>
    </w:p>
    <w:p>
      <w:pPr>
        <w:pStyle w:val="1086"/>
        <w:rPr>
          <w:rFonts w:asciiTheme="minorHAnsi" w:hAnsiTheme="minorHAnsi" w:eastAsiaTheme="minorEastAsia"/>
          <w:b w:val="0"/>
          <w:caps w:val="0"/>
          <w:sz w:val="24"/>
          <w:szCs w:val="24"/>
          <w:lang w:eastAsia="ru-RU"/>
          <w14:ligatures w14:val="standardContextual"/>
        </w:rPr>
      </w:pPr>
      <w:r/>
      <w:hyperlink w:tooltip="#_Toc224744368" w:anchor="_Toc224744368" w:history="1">
        <w:r>
          <w:rPr>
            <w:rStyle w:val="1083"/>
          </w:rPr>
          <w:t xml:space="preserve">10.</w:t>
        </w:r>
        <w:r>
          <w:rPr>
            <w:rFonts w:asciiTheme="minorHAnsi" w:hAnsiTheme="minorHAnsi" w:eastAsiaTheme="minorEastAsia"/>
            <w:b w:val="0"/>
            <w:caps w:val="0"/>
            <w:sz w:val="24"/>
            <w:szCs w:val="24"/>
            <w:lang w:eastAsia="ru-RU"/>
            <w14:ligatures w14:val="standardContextual"/>
          </w:rPr>
          <w:tab/>
        </w:r>
        <w:r>
          <w:rPr>
            <w:rStyle w:val="1083"/>
          </w:rPr>
          <w:t xml:space="preserve">Приложение № 5 – Образцы форм документов, предоставляемых Победителем</w:t>
        </w:r>
        <w:r>
          <w:tab/>
        </w:r>
        <w:r>
          <w:fldChar w:fldCharType="begin"/>
        </w:r>
        <w:r>
          <w:instrText xml:space="preserve"> PAGEREF _Toc224744368 \h </w:instrText>
        </w:r>
        <w:r>
          <w:fldChar w:fldCharType="separate"/>
        </w:r>
        <w:r>
          <w:t xml:space="preserve">66</w:t>
        </w:r>
        <w:r>
          <w:fldChar w:fldCharType="end"/>
        </w:r>
      </w:hyperlink>
      <w:r>
        <w:rPr>
          <w:rFonts w:asciiTheme="minorHAnsi" w:hAnsiTheme="minorHAnsi" w:eastAsiaTheme="minorEastAsia"/>
          <w:b w:val="0"/>
          <w:caps w:val="0"/>
          <w:sz w:val="24"/>
          <w:szCs w:val="24"/>
          <w:lang w:eastAsia="ru-RU"/>
          <w14:ligatures w14:val="standardContextual"/>
        </w:rPr>
      </w:r>
      <w:r>
        <w:rPr>
          <w:rFonts w:asciiTheme="minorHAnsi" w:hAnsiTheme="minorHAnsi" w:eastAsiaTheme="minorEastAsia"/>
          <w:b w:val="0"/>
          <w:caps w:val="0"/>
          <w:sz w:val="24"/>
          <w:szCs w:val="24"/>
          <w:lang w:eastAsia="ru-RU"/>
          <w14:ligatures w14:val="standardContextual"/>
        </w:rPr>
      </w:r>
    </w:p>
    <w:p>
      <w:pPr>
        <w:pStyle w:val="1085"/>
        <w:rPr>
          <w:rFonts w:asciiTheme="minorHAnsi" w:hAnsiTheme="minorHAnsi" w:eastAsiaTheme="minorEastAsia"/>
          <w:sz w:val="24"/>
          <w:szCs w:val="24"/>
          <w:lang w:eastAsia="ru-RU"/>
          <w14:ligatures w14:val="standardContextual"/>
        </w:rPr>
      </w:pPr>
      <w:r/>
      <w:hyperlink w:tooltip="#_Toc224744369" w:anchor="_Toc224744369" w:history="1">
        <w:r>
          <w:rPr>
            <w:rStyle w:val="1083"/>
          </w:rPr>
          <w:t xml:space="preserve">10.1</w:t>
        </w:r>
        <w:r>
          <w:rPr>
            <w:rFonts w:asciiTheme="minorHAnsi" w:hAnsiTheme="minorHAnsi" w:eastAsiaTheme="minorEastAsia"/>
            <w:sz w:val="24"/>
            <w:szCs w:val="24"/>
            <w:lang w:eastAsia="ru-RU"/>
            <w14:ligatures w14:val="standardContextual"/>
          </w:rPr>
          <w:tab/>
        </w:r>
        <w:r>
          <w:rPr>
            <w:rStyle w:val="1083"/>
          </w:rPr>
          <w:t xml:space="preserve">Пояснения к Образцам форм документов, предоставляемых Победителем</w:t>
        </w:r>
        <w:r>
          <w:tab/>
        </w:r>
        <w:r>
          <w:fldChar w:fldCharType="begin"/>
        </w:r>
        <w:r>
          <w:instrText xml:space="preserve"> PAGEREF _Toc224744369 \h </w:instrText>
        </w:r>
        <w:r>
          <w:fldChar w:fldCharType="separate"/>
        </w:r>
        <w:r>
          <w:t xml:space="preserve">66</w:t>
        </w:r>
        <w:r>
          <w:fldChar w:fldCharType="end"/>
        </w:r>
      </w:hyperlink>
      <w:r>
        <w:rPr>
          <w:rFonts w:asciiTheme="minorHAnsi" w:hAnsiTheme="minorHAnsi" w:eastAsiaTheme="minorEastAsia"/>
          <w:sz w:val="24"/>
          <w:szCs w:val="24"/>
          <w:lang w:eastAsia="ru-RU"/>
          <w14:ligatures w14:val="standardContextual"/>
        </w:rPr>
      </w:r>
      <w:r>
        <w:rPr>
          <w:rFonts w:asciiTheme="minorHAnsi" w:hAnsiTheme="minorHAnsi" w:eastAsiaTheme="minorEastAsia"/>
          <w:sz w:val="24"/>
          <w:szCs w:val="24"/>
          <w:lang w:eastAsia="ru-RU"/>
          <w14:ligatures w14:val="standardContextual"/>
        </w:rPr>
      </w:r>
    </w:p>
    <w:p>
      <w:pPr>
        <w:pStyle w:val="1085"/>
        <w:rPr>
          <w:rFonts w:asciiTheme="minorHAnsi" w:hAnsiTheme="minorHAnsi" w:eastAsiaTheme="minorEastAsia"/>
          <w:sz w:val="24"/>
          <w:szCs w:val="24"/>
          <w:lang w:eastAsia="ru-RU"/>
          <w14:ligatures w14:val="standardContextual"/>
        </w:rPr>
      </w:pPr>
      <w:r/>
      <w:hyperlink w:tooltip="#_Toc224744370" w:anchor="_Toc224744370" w:history="1">
        <w:r>
          <w:rPr>
            <w:rStyle w:val="1083"/>
          </w:rPr>
          <w:t xml:space="preserve">10.2</w:t>
        </w:r>
        <w:r>
          <w:rPr>
            <w:rFonts w:asciiTheme="minorHAnsi" w:hAnsiTheme="minorHAnsi" w:eastAsiaTheme="minorEastAsia"/>
            <w:sz w:val="24"/>
            <w:szCs w:val="24"/>
            <w:lang w:eastAsia="ru-RU"/>
            <w14:ligatures w14:val="standardContextual"/>
          </w:rPr>
          <w:tab/>
        </w:r>
        <w:r>
          <w:rPr>
            <w:rStyle w:val="1083"/>
          </w:rPr>
          <w:t xml:space="preserve">Форма справки «Сведения о цепочке собственников, включая бенефициаров (в том числе конечных)»</w:t>
        </w:r>
        <w:r>
          <w:tab/>
        </w:r>
        <w:r>
          <w:fldChar w:fldCharType="begin"/>
        </w:r>
        <w:r>
          <w:instrText xml:space="preserve"> PAGEREF _Toc224744370 \h </w:instrText>
        </w:r>
        <w:r>
          <w:fldChar w:fldCharType="separate"/>
        </w:r>
        <w:r>
          <w:t xml:space="preserve">66</w:t>
        </w:r>
        <w:r>
          <w:fldChar w:fldCharType="end"/>
        </w:r>
      </w:hyperlink>
      <w:r>
        <w:rPr>
          <w:rFonts w:asciiTheme="minorHAnsi" w:hAnsiTheme="minorHAnsi" w:eastAsiaTheme="minorEastAsia"/>
          <w:sz w:val="24"/>
          <w:szCs w:val="24"/>
          <w:lang w:eastAsia="ru-RU"/>
          <w14:ligatures w14:val="standardContextual"/>
        </w:rPr>
      </w:r>
      <w:r>
        <w:rPr>
          <w:rFonts w:asciiTheme="minorHAnsi" w:hAnsiTheme="minorHAnsi" w:eastAsiaTheme="minorEastAsia"/>
          <w:sz w:val="24"/>
          <w:szCs w:val="24"/>
          <w:lang w:eastAsia="ru-RU"/>
          <w14:ligatures w14:val="standardContextual"/>
        </w:rPr>
      </w:r>
    </w:p>
    <w:p>
      <w:pPr>
        <w:pStyle w:val="1085"/>
        <w:rPr>
          <w:rFonts w:asciiTheme="minorHAnsi" w:hAnsiTheme="minorHAnsi" w:eastAsiaTheme="minorEastAsia"/>
          <w:sz w:val="24"/>
          <w:szCs w:val="24"/>
          <w:lang w:eastAsia="ru-RU"/>
          <w14:ligatures w14:val="standardContextual"/>
        </w:rPr>
      </w:pPr>
      <w:r/>
      <w:hyperlink w:tooltip="#_Toc224744371" w:anchor="_Toc224744371" w:history="1">
        <w:r>
          <w:rPr>
            <w:rStyle w:val="1083"/>
          </w:rPr>
          <w:t xml:space="preserve">10.3</w:t>
        </w:r>
        <w:r>
          <w:rPr>
            <w:rFonts w:asciiTheme="minorHAnsi" w:hAnsiTheme="minorHAnsi" w:eastAsiaTheme="minorEastAsia"/>
            <w:sz w:val="24"/>
            <w:szCs w:val="24"/>
            <w:lang w:eastAsia="ru-RU"/>
            <w14:ligatures w14:val="standardContextual"/>
          </w:rPr>
          <w:tab/>
        </w:r>
        <w:r>
          <w:rPr>
            <w:rStyle w:val="1083"/>
          </w:rPr>
          <w:t xml:space="preserve">Форма «Заверение об обстоятельствах»</w:t>
        </w:r>
        <w:r>
          <w:tab/>
        </w:r>
        <w:r>
          <w:fldChar w:fldCharType="begin"/>
        </w:r>
        <w:r>
          <w:instrText xml:space="preserve"> PAGEREF _Toc224744371 \h </w:instrText>
        </w:r>
        <w:r>
          <w:fldChar w:fldCharType="separate"/>
        </w:r>
        <w:r>
          <w:t xml:space="preserve">66</w:t>
        </w:r>
        <w:r>
          <w:fldChar w:fldCharType="end"/>
        </w:r>
      </w:hyperlink>
      <w:r>
        <w:rPr>
          <w:rFonts w:asciiTheme="minorHAnsi" w:hAnsiTheme="minorHAnsi" w:eastAsiaTheme="minorEastAsia"/>
          <w:sz w:val="24"/>
          <w:szCs w:val="24"/>
          <w:lang w:eastAsia="ru-RU"/>
          <w14:ligatures w14:val="standardContextual"/>
        </w:rPr>
      </w:r>
      <w:r>
        <w:rPr>
          <w:rFonts w:asciiTheme="minorHAnsi" w:hAnsiTheme="minorHAnsi" w:eastAsiaTheme="minorEastAsia"/>
          <w:sz w:val="24"/>
          <w:szCs w:val="24"/>
          <w:lang w:eastAsia="ru-RU"/>
          <w14:ligatures w14:val="standardContextual"/>
        </w:rPr>
      </w:r>
    </w:p>
    <w:p>
      <w:pPr>
        <w:pStyle w:val="1086"/>
        <w:rPr>
          <w:rFonts w:asciiTheme="minorHAnsi" w:hAnsiTheme="minorHAnsi" w:eastAsiaTheme="minorEastAsia"/>
          <w:b w:val="0"/>
          <w:caps w:val="0"/>
          <w:sz w:val="24"/>
          <w:szCs w:val="24"/>
          <w:lang w:eastAsia="ru-RU"/>
          <w14:ligatures w14:val="standardContextual"/>
        </w:rPr>
      </w:pPr>
      <w:r/>
      <w:hyperlink w:tooltip="#_Toc224744372" w:anchor="_Toc224744372" w:history="1">
        <w:r>
          <w:rPr>
            <w:rStyle w:val="1083"/>
          </w:rPr>
          <w:t xml:space="preserve">11.</w:t>
        </w:r>
        <w:r>
          <w:rPr>
            <w:rFonts w:asciiTheme="minorHAnsi" w:hAnsiTheme="minorHAnsi" w:eastAsiaTheme="minorEastAsia"/>
            <w:b w:val="0"/>
            <w:caps w:val="0"/>
            <w:sz w:val="24"/>
            <w:szCs w:val="24"/>
            <w:lang w:eastAsia="ru-RU"/>
            <w14:ligatures w14:val="standardContextual"/>
          </w:rPr>
          <w:tab/>
        </w:r>
        <w:r>
          <w:rPr>
            <w:rStyle w:val="1083"/>
          </w:rPr>
          <w:t xml:space="preserve">Приложение № 6 – Состав заявки</w:t>
        </w:r>
        <w:r>
          <w:tab/>
        </w:r>
        <w:r>
          <w:fldChar w:fldCharType="begin"/>
        </w:r>
        <w:r>
          <w:instrText xml:space="preserve"> PAGEREF _Toc224744372 \h </w:instrText>
        </w:r>
        <w:r>
          <w:fldChar w:fldCharType="separate"/>
        </w:r>
        <w:r>
          <w:t xml:space="preserve">68</w:t>
        </w:r>
        <w:r>
          <w:fldChar w:fldCharType="end"/>
        </w:r>
      </w:hyperlink>
      <w:r>
        <w:rPr>
          <w:rFonts w:asciiTheme="minorHAnsi" w:hAnsiTheme="minorHAnsi" w:eastAsiaTheme="minorEastAsia"/>
          <w:b w:val="0"/>
          <w:caps w:val="0"/>
          <w:sz w:val="24"/>
          <w:szCs w:val="24"/>
          <w:lang w:eastAsia="ru-RU"/>
          <w14:ligatures w14:val="standardContextual"/>
        </w:rPr>
      </w:r>
      <w:r>
        <w:rPr>
          <w:rFonts w:asciiTheme="minorHAnsi" w:hAnsiTheme="minorHAnsi" w:eastAsiaTheme="minorEastAsia"/>
          <w:b w:val="0"/>
          <w:caps w:val="0"/>
          <w:sz w:val="24"/>
          <w:szCs w:val="24"/>
          <w:lang w:eastAsia="ru-RU"/>
          <w14:ligatures w14:val="standardContextual"/>
        </w:rPr>
      </w:r>
    </w:p>
    <w:p>
      <w:pPr>
        <w:pStyle w:val="1085"/>
        <w:rPr>
          <w:rFonts w:asciiTheme="minorHAnsi" w:hAnsiTheme="minorHAnsi" w:eastAsiaTheme="minorEastAsia"/>
          <w:sz w:val="24"/>
          <w:szCs w:val="24"/>
          <w:lang w:eastAsia="ru-RU"/>
          <w14:ligatures w14:val="standardContextual"/>
        </w:rPr>
      </w:pPr>
      <w:r/>
      <w:hyperlink w:tooltip="#_Toc224744373" w:anchor="_Toc224744373" w:history="1">
        <w:r>
          <w:rPr>
            <w:rStyle w:val="1083"/>
          </w:rPr>
          <w:t xml:space="preserve">11.1</w:t>
        </w:r>
        <w:r>
          <w:rPr>
            <w:rFonts w:asciiTheme="minorHAnsi" w:hAnsiTheme="minorHAnsi" w:eastAsiaTheme="minorEastAsia"/>
            <w:sz w:val="24"/>
            <w:szCs w:val="24"/>
            <w:lang w:eastAsia="ru-RU"/>
            <w14:ligatures w14:val="standardContextual"/>
          </w:rPr>
          <w:tab/>
        </w:r>
        <w:r>
          <w:rPr>
            <w:rStyle w:val="1083"/>
          </w:rPr>
          <w:t xml:space="preserve">Состав заявки</w:t>
        </w:r>
        <w:r>
          <w:tab/>
        </w:r>
        <w:r>
          <w:fldChar w:fldCharType="begin"/>
        </w:r>
        <w:r>
          <w:instrText xml:space="preserve"> PAGEREF _Toc224744373 \h </w:instrText>
        </w:r>
        <w:r>
          <w:fldChar w:fldCharType="separate"/>
        </w:r>
        <w:r>
          <w:t xml:space="preserve">68</w:t>
        </w:r>
        <w:r>
          <w:fldChar w:fldCharType="end"/>
        </w:r>
      </w:hyperlink>
      <w:r>
        <w:rPr>
          <w:rFonts w:asciiTheme="minorHAnsi" w:hAnsiTheme="minorHAnsi" w:eastAsiaTheme="minorEastAsia"/>
          <w:sz w:val="24"/>
          <w:szCs w:val="24"/>
          <w:lang w:eastAsia="ru-RU"/>
          <w14:ligatures w14:val="standardContextual"/>
        </w:rPr>
      </w:r>
      <w:r>
        <w:rPr>
          <w:rFonts w:asciiTheme="minorHAnsi" w:hAnsiTheme="minorHAnsi" w:eastAsiaTheme="minorEastAsia"/>
          <w:sz w:val="24"/>
          <w:szCs w:val="24"/>
          <w:lang w:eastAsia="ru-RU"/>
          <w14:ligatures w14:val="standardContextual"/>
        </w:rPr>
      </w:r>
    </w:p>
    <w:p>
      <w:pPr>
        <w:pStyle w:val="1086"/>
        <w:rPr>
          <w:rFonts w:asciiTheme="minorHAnsi" w:hAnsiTheme="minorHAnsi" w:eastAsiaTheme="minorEastAsia"/>
          <w:b w:val="0"/>
          <w:caps w:val="0"/>
          <w:sz w:val="24"/>
          <w:szCs w:val="24"/>
          <w:lang w:eastAsia="ru-RU"/>
          <w14:ligatures w14:val="standardContextual"/>
        </w:rPr>
      </w:pPr>
      <w:r/>
      <w:hyperlink w:tooltip="#_Toc224744374" w:anchor="_Toc224744374" w:history="1">
        <w:r>
          <w:rPr>
            <w:rStyle w:val="1083"/>
          </w:rPr>
          <w:t xml:space="preserve">12.</w:t>
        </w:r>
        <w:r>
          <w:rPr>
            <w:rFonts w:asciiTheme="minorHAnsi" w:hAnsiTheme="minorHAnsi" w:eastAsiaTheme="minorEastAsia"/>
            <w:b w:val="0"/>
            <w:caps w:val="0"/>
            <w:sz w:val="24"/>
            <w:szCs w:val="24"/>
            <w:lang w:eastAsia="ru-RU"/>
            <w14:ligatures w14:val="standardContextual"/>
          </w:rPr>
          <w:tab/>
        </w:r>
        <w:r>
          <w:rPr>
            <w:rStyle w:val="1083"/>
          </w:rPr>
          <w:t xml:space="preserve">Приложение № 7 – Отборочные критерии рассмотрения заявок</w:t>
        </w:r>
        <w:r>
          <w:tab/>
        </w:r>
        <w:r>
          <w:fldChar w:fldCharType="begin"/>
        </w:r>
        <w:r>
          <w:instrText xml:space="preserve"> PAGEREF _Toc224744374 \h </w:instrText>
        </w:r>
        <w:r>
          <w:fldChar w:fldCharType="separate"/>
        </w:r>
        <w:r>
          <w:t xml:space="preserve">70</w:t>
        </w:r>
        <w:r>
          <w:fldChar w:fldCharType="end"/>
        </w:r>
      </w:hyperlink>
      <w:r>
        <w:rPr>
          <w:rFonts w:asciiTheme="minorHAnsi" w:hAnsiTheme="minorHAnsi" w:eastAsiaTheme="minorEastAsia"/>
          <w:b w:val="0"/>
          <w:caps w:val="0"/>
          <w:sz w:val="24"/>
          <w:szCs w:val="24"/>
          <w:lang w:eastAsia="ru-RU"/>
          <w14:ligatures w14:val="standardContextual"/>
        </w:rPr>
      </w:r>
      <w:r>
        <w:rPr>
          <w:rFonts w:asciiTheme="minorHAnsi" w:hAnsiTheme="minorHAnsi" w:eastAsiaTheme="minorEastAsia"/>
          <w:b w:val="0"/>
          <w:caps w:val="0"/>
          <w:sz w:val="24"/>
          <w:szCs w:val="24"/>
          <w:lang w:eastAsia="ru-RU"/>
          <w14:ligatures w14:val="standardContextual"/>
        </w:rPr>
      </w:r>
    </w:p>
    <w:p>
      <w:pPr>
        <w:pStyle w:val="1085"/>
        <w:rPr>
          <w:rFonts w:asciiTheme="minorHAnsi" w:hAnsiTheme="minorHAnsi" w:eastAsiaTheme="minorEastAsia"/>
          <w:sz w:val="24"/>
          <w:szCs w:val="24"/>
          <w:lang w:eastAsia="ru-RU"/>
          <w14:ligatures w14:val="standardContextual"/>
        </w:rPr>
      </w:pPr>
      <w:r/>
      <w:hyperlink w:tooltip="#_Toc224744375" w:anchor="_Toc224744375" w:history="1">
        <w:r>
          <w:rPr>
            <w:rStyle w:val="1083"/>
          </w:rPr>
          <w:t xml:space="preserve">12.1</w:t>
        </w:r>
        <w:r>
          <w:rPr>
            <w:rFonts w:asciiTheme="minorHAnsi" w:hAnsiTheme="minorHAnsi" w:eastAsiaTheme="minorEastAsia"/>
            <w:sz w:val="24"/>
            <w:szCs w:val="24"/>
            <w:lang w:eastAsia="ru-RU"/>
            <w14:ligatures w14:val="standardContextual"/>
          </w:rPr>
          <w:tab/>
        </w:r>
        <w:r>
          <w:rPr>
            <w:rStyle w:val="1083"/>
          </w:rPr>
          <w:t xml:space="preserve">Отборочные критерии рассмотрения заявок</w:t>
        </w:r>
        <w:r>
          <w:tab/>
        </w:r>
        <w:r>
          <w:fldChar w:fldCharType="begin"/>
        </w:r>
        <w:r>
          <w:instrText xml:space="preserve"> PAGEREF _Toc224744375 \h </w:instrText>
        </w:r>
        <w:r>
          <w:fldChar w:fldCharType="separate"/>
        </w:r>
        <w:r>
          <w:t xml:space="preserve">70</w:t>
        </w:r>
        <w:r>
          <w:fldChar w:fldCharType="end"/>
        </w:r>
      </w:hyperlink>
      <w:r>
        <w:rPr>
          <w:rFonts w:asciiTheme="minorHAnsi" w:hAnsiTheme="minorHAnsi" w:eastAsiaTheme="minorEastAsia"/>
          <w:sz w:val="24"/>
          <w:szCs w:val="24"/>
          <w:lang w:eastAsia="ru-RU"/>
          <w14:ligatures w14:val="standardContextual"/>
        </w:rPr>
      </w:r>
      <w:r>
        <w:rPr>
          <w:rFonts w:asciiTheme="minorHAnsi" w:hAnsiTheme="minorHAnsi" w:eastAsiaTheme="minorEastAsia"/>
          <w:sz w:val="24"/>
          <w:szCs w:val="24"/>
          <w:lang w:eastAsia="ru-RU"/>
          <w14:ligatures w14:val="standardContextual"/>
        </w:rPr>
      </w:r>
    </w:p>
    <w:p>
      <w:pPr>
        <w:pStyle w:val="1085"/>
        <w:rPr>
          <w:rFonts w:asciiTheme="minorHAnsi" w:hAnsiTheme="minorHAnsi" w:eastAsiaTheme="minorEastAsia"/>
          <w:sz w:val="24"/>
          <w:szCs w:val="24"/>
          <w:lang w:eastAsia="ru-RU"/>
          <w14:ligatures w14:val="standardContextual"/>
        </w:rPr>
      </w:pPr>
      <w:r/>
      <w:hyperlink w:tooltip="#_Toc224744376" w:anchor="_Toc224744376" w:history="1">
        <w:r>
          <w:rPr>
            <w:rStyle w:val="1083"/>
          </w:rPr>
          <w:t xml:space="preserve">12.2</w:t>
        </w:r>
        <w:r>
          <w:rPr>
            <w:rFonts w:asciiTheme="minorHAnsi" w:hAnsiTheme="minorHAnsi" w:eastAsiaTheme="minorEastAsia"/>
            <w:sz w:val="24"/>
            <w:szCs w:val="24"/>
            <w:lang w:eastAsia="ru-RU"/>
            <w14:ligatures w14:val="standardContextual"/>
          </w:rPr>
          <w:tab/>
        </w:r>
        <w:r>
          <w:rPr>
            <w:rStyle w:val="1083"/>
          </w:rPr>
          <w:t xml:space="preserve">Дополнительные критерии проверки заявок на соответствие условиям Документации о закупке</w:t>
        </w:r>
        <w:r>
          <w:tab/>
        </w:r>
        <w:r>
          <w:fldChar w:fldCharType="begin"/>
        </w:r>
        <w:r>
          <w:instrText xml:space="preserve"> PAGEREF _Toc224744376 \h </w:instrText>
        </w:r>
        <w:r>
          <w:fldChar w:fldCharType="separate"/>
        </w:r>
        <w:r>
          <w:t xml:space="preserve">75</w:t>
        </w:r>
        <w:r>
          <w:fldChar w:fldCharType="end"/>
        </w:r>
      </w:hyperlink>
      <w:r>
        <w:rPr>
          <w:rFonts w:asciiTheme="minorHAnsi" w:hAnsiTheme="minorHAnsi" w:eastAsiaTheme="minorEastAsia"/>
          <w:sz w:val="24"/>
          <w:szCs w:val="24"/>
          <w:lang w:eastAsia="ru-RU"/>
          <w14:ligatures w14:val="standardContextual"/>
        </w:rPr>
      </w:r>
      <w:r>
        <w:rPr>
          <w:rFonts w:asciiTheme="minorHAnsi" w:hAnsiTheme="minorHAnsi" w:eastAsiaTheme="minorEastAsia"/>
          <w:sz w:val="24"/>
          <w:szCs w:val="24"/>
          <w:lang w:eastAsia="ru-RU"/>
          <w14:ligatures w14:val="standardContextual"/>
        </w:rPr>
      </w:r>
    </w:p>
    <w:p>
      <w:pPr>
        <w:pStyle w:val="1086"/>
        <w:rPr>
          <w:rFonts w:asciiTheme="minorHAnsi" w:hAnsiTheme="minorHAnsi" w:eastAsiaTheme="minorEastAsia"/>
          <w:b w:val="0"/>
          <w:caps w:val="0"/>
          <w:sz w:val="24"/>
          <w:szCs w:val="24"/>
          <w:lang w:eastAsia="ru-RU"/>
          <w14:ligatures w14:val="standardContextual"/>
        </w:rPr>
      </w:pPr>
      <w:r/>
      <w:hyperlink w:tooltip="#_Toc224744377" w:anchor="_Toc224744377" w:history="1">
        <w:r>
          <w:rPr>
            <w:rStyle w:val="1083"/>
          </w:rPr>
          <w:t xml:space="preserve">13.</w:t>
        </w:r>
        <w:r>
          <w:rPr>
            <w:rFonts w:asciiTheme="minorHAnsi" w:hAnsiTheme="minorHAnsi" w:eastAsiaTheme="minorEastAsia"/>
            <w:b w:val="0"/>
            <w:caps w:val="0"/>
            <w:sz w:val="24"/>
            <w:szCs w:val="24"/>
            <w:lang w:eastAsia="ru-RU"/>
            <w14:ligatures w14:val="standardContextual"/>
          </w:rPr>
          <w:tab/>
        </w:r>
        <w:r>
          <w:rPr>
            <w:rStyle w:val="1083"/>
          </w:rPr>
          <w:t xml:space="preserve">Приложение № 8 – Порядок и критерии оценки и сопоставления заявок</w:t>
        </w:r>
        <w:r>
          <w:tab/>
        </w:r>
        <w:r>
          <w:fldChar w:fldCharType="begin"/>
        </w:r>
        <w:r>
          <w:instrText xml:space="preserve"> PAGEREF _Toc224744377 \h </w:instrText>
        </w:r>
        <w:r>
          <w:fldChar w:fldCharType="separate"/>
        </w:r>
        <w:r>
          <w:t xml:space="preserve">78</w:t>
        </w:r>
        <w:r>
          <w:fldChar w:fldCharType="end"/>
        </w:r>
      </w:hyperlink>
      <w:r>
        <w:rPr>
          <w:rFonts w:asciiTheme="minorHAnsi" w:hAnsiTheme="minorHAnsi" w:eastAsiaTheme="minorEastAsia"/>
          <w:b w:val="0"/>
          <w:caps w:val="0"/>
          <w:sz w:val="24"/>
          <w:szCs w:val="24"/>
          <w:lang w:eastAsia="ru-RU"/>
          <w14:ligatures w14:val="standardContextual"/>
        </w:rPr>
      </w:r>
      <w:r>
        <w:rPr>
          <w:rFonts w:asciiTheme="minorHAnsi" w:hAnsiTheme="minorHAnsi" w:eastAsiaTheme="minorEastAsia"/>
          <w:b w:val="0"/>
          <w:caps w:val="0"/>
          <w:sz w:val="24"/>
          <w:szCs w:val="24"/>
          <w:lang w:eastAsia="ru-RU"/>
          <w14:ligatures w14:val="standardContextual"/>
        </w:rPr>
      </w:r>
    </w:p>
    <w:p>
      <w:pPr>
        <w:pStyle w:val="1085"/>
        <w:rPr>
          <w:rFonts w:asciiTheme="minorHAnsi" w:hAnsiTheme="minorHAnsi" w:eastAsiaTheme="minorEastAsia"/>
          <w:sz w:val="24"/>
          <w:szCs w:val="24"/>
          <w:lang w:eastAsia="ru-RU"/>
          <w14:ligatures w14:val="standardContextual"/>
        </w:rPr>
      </w:pPr>
      <w:r/>
      <w:hyperlink w:tooltip="#_Toc224744378" w:anchor="_Toc224744378" w:history="1">
        <w:r>
          <w:rPr>
            <w:rStyle w:val="1083"/>
          </w:rPr>
          <w:t xml:space="preserve">13.1</w:t>
        </w:r>
        <w:r>
          <w:rPr>
            <w:rFonts w:asciiTheme="minorHAnsi" w:hAnsiTheme="minorHAnsi" w:eastAsiaTheme="minorEastAsia"/>
            <w:sz w:val="24"/>
            <w:szCs w:val="24"/>
            <w:lang w:eastAsia="ru-RU"/>
            <w14:ligatures w14:val="standardContextual"/>
          </w:rPr>
          <w:tab/>
        </w:r>
        <w:r>
          <w:rPr>
            <w:rStyle w:val="1083"/>
          </w:rPr>
          <w:t xml:space="preserve">Порядок и критерии оценки и сопоставления заявок</w:t>
        </w:r>
        <w:r>
          <w:tab/>
        </w:r>
        <w:r>
          <w:fldChar w:fldCharType="begin"/>
        </w:r>
        <w:r>
          <w:instrText xml:space="preserve"> PAGEREF _Toc224744378 \h </w:instrText>
        </w:r>
        <w:r>
          <w:fldChar w:fldCharType="separate"/>
        </w:r>
        <w:r>
          <w:t xml:space="preserve">78</w:t>
        </w:r>
        <w:r>
          <w:fldChar w:fldCharType="end"/>
        </w:r>
      </w:hyperlink>
      <w:r>
        <w:rPr>
          <w:rFonts w:asciiTheme="minorHAnsi" w:hAnsiTheme="minorHAnsi" w:eastAsiaTheme="minorEastAsia"/>
          <w:sz w:val="24"/>
          <w:szCs w:val="24"/>
          <w:lang w:eastAsia="ru-RU"/>
          <w14:ligatures w14:val="standardContextual"/>
        </w:rPr>
      </w:r>
      <w:r>
        <w:rPr>
          <w:rFonts w:asciiTheme="minorHAnsi" w:hAnsiTheme="minorHAnsi" w:eastAsiaTheme="minorEastAsia"/>
          <w:sz w:val="24"/>
          <w:szCs w:val="24"/>
          <w:lang w:eastAsia="ru-RU"/>
          <w14:ligatures w14:val="standardContextual"/>
        </w:rPr>
      </w:r>
    </w:p>
    <w:p>
      <w:pPr>
        <w:pStyle w:val="1086"/>
        <w:rPr>
          <w:rFonts w:asciiTheme="minorHAnsi" w:hAnsiTheme="minorHAnsi" w:eastAsiaTheme="minorEastAsia"/>
          <w:b w:val="0"/>
          <w:caps w:val="0"/>
          <w:sz w:val="24"/>
          <w:szCs w:val="24"/>
          <w:lang w:eastAsia="ru-RU"/>
          <w14:ligatures w14:val="standardContextual"/>
        </w:rPr>
      </w:pPr>
      <w:r/>
      <w:hyperlink w:tooltip="#_Toc224744379" w:anchor="_Toc224744379" w:history="1">
        <w:r>
          <w:rPr>
            <w:rStyle w:val="1083"/>
          </w:rPr>
          <w:t xml:space="preserve">14.</w:t>
        </w:r>
        <w:r>
          <w:rPr>
            <w:rFonts w:asciiTheme="minorHAnsi" w:hAnsiTheme="minorHAnsi" w:eastAsiaTheme="minorEastAsia"/>
            <w:b w:val="0"/>
            <w:caps w:val="0"/>
            <w:sz w:val="24"/>
            <w:szCs w:val="24"/>
            <w:lang w:eastAsia="ru-RU"/>
            <w14:ligatures w14:val="standardContextual"/>
          </w:rPr>
          <w:tab/>
        </w:r>
        <w:r>
          <w:rPr>
            <w:rStyle w:val="1083"/>
          </w:rPr>
          <w:t xml:space="preserve">Приложение № 9 – Обоснование НМЦ</w:t>
        </w:r>
        <w:r>
          <w:tab/>
        </w:r>
        <w:r>
          <w:fldChar w:fldCharType="begin"/>
        </w:r>
        <w:r>
          <w:instrText xml:space="preserve"> PAGEREF _Toc224744379 \h </w:instrText>
        </w:r>
        <w:r>
          <w:fldChar w:fldCharType="separate"/>
        </w:r>
        <w:r>
          <w:t xml:space="preserve">79</w:t>
        </w:r>
        <w:r>
          <w:fldChar w:fldCharType="end"/>
        </w:r>
      </w:hyperlink>
      <w:r>
        <w:rPr>
          <w:rFonts w:asciiTheme="minorHAnsi" w:hAnsiTheme="minorHAnsi" w:eastAsiaTheme="minorEastAsia"/>
          <w:b w:val="0"/>
          <w:caps w:val="0"/>
          <w:sz w:val="24"/>
          <w:szCs w:val="24"/>
          <w:lang w:eastAsia="ru-RU"/>
          <w14:ligatures w14:val="standardContextual"/>
        </w:rPr>
      </w:r>
      <w:r>
        <w:rPr>
          <w:rFonts w:asciiTheme="minorHAnsi" w:hAnsiTheme="minorHAnsi" w:eastAsiaTheme="minorEastAsia"/>
          <w:b w:val="0"/>
          <w:caps w:val="0"/>
          <w:sz w:val="24"/>
          <w:szCs w:val="24"/>
          <w:lang w:eastAsia="ru-RU"/>
          <w14:ligatures w14:val="standardContextual"/>
        </w:rPr>
      </w:r>
    </w:p>
    <w:p>
      <w:pPr>
        <w:pStyle w:val="1085"/>
        <w:rPr>
          <w:rFonts w:asciiTheme="minorHAnsi" w:hAnsiTheme="minorHAnsi" w:eastAsiaTheme="minorEastAsia"/>
          <w:sz w:val="24"/>
          <w:szCs w:val="24"/>
          <w:lang w:eastAsia="ru-RU"/>
          <w14:ligatures w14:val="standardContextual"/>
        </w:rPr>
      </w:pPr>
      <w:r/>
      <w:hyperlink w:tooltip="#_Toc224744380" w:anchor="_Toc224744380" w:history="1">
        <w:r>
          <w:rPr>
            <w:rStyle w:val="1083"/>
          </w:rPr>
          <w:t xml:space="preserve">14.1</w:t>
        </w:r>
        <w:r>
          <w:rPr>
            <w:rFonts w:asciiTheme="minorHAnsi" w:hAnsiTheme="minorHAnsi" w:eastAsiaTheme="minorEastAsia"/>
            <w:sz w:val="24"/>
            <w:szCs w:val="24"/>
            <w:lang w:eastAsia="ru-RU"/>
            <w14:ligatures w14:val="standardContextual"/>
          </w:rPr>
          <w:tab/>
        </w:r>
        <w:r>
          <w:rPr>
            <w:rStyle w:val="1083"/>
          </w:rPr>
          <w:t xml:space="preserve">Пояснения к Обоснованию НМЦ</w:t>
        </w:r>
        <w:r>
          <w:tab/>
        </w:r>
        <w:r>
          <w:fldChar w:fldCharType="begin"/>
        </w:r>
        <w:r>
          <w:instrText xml:space="preserve"> PAGEREF _Toc224744380 \h </w:instrText>
        </w:r>
        <w:r>
          <w:fldChar w:fldCharType="separate"/>
        </w:r>
        <w:r>
          <w:t xml:space="preserve">79</w:t>
        </w:r>
        <w:r>
          <w:fldChar w:fldCharType="end"/>
        </w:r>
      </w:hyperlink>
      <w:r>
        <w:rPr>
          <w:rFonts w:asciiTheme="minorHAnsi" w:hAnsiTheme="minorHAnsi" w:eastAsiaTheme="minorEastAsia"/>
          <w:sz w:val="24"/>
          <w:szCs w:val="24"/>
          <w:lang w:eastAsia="ru-RU"/>
          <w14:ligatures w14:val="standardContextual"/>
        </w:rPr>
      </w:r>
      <w:r>
        <w:rPr>
          <w:rFonts w:asciiTheme="minorHAnsi" w:hAnsiTheme="minorHAnsi" w:eastAsiaTheme="minorEastAsia"/>
          <w:sz w:val="24"/>
          <w:szCs w:val="24"/>
          <w:lang w:eastAsia="ru-RU"/>
          <w14:ligatures w14:val="standardContextual"/>
        </w:rPr>
      </w:r>
    </w:p>
    <w:p>
      <w:pPr>
        <w:pStyle w:val="1086"/>
        <w:rPr>
          <w:rFonts w:asciiTheme="minorHAnsi" w:hAnsiTheme="minorHAnsi" w:eastAsiaTheme="minorEastAsia"/>
          <w:b w:val="0"/>
          <w:caps w:val="0"/>
          <w:sz w:val="24"/>
          <w:szCs w:val="24"/>
          <w:lang w:eastAsia="ru-RU"/>
          <w14:ligatures w14:val="standardContextual"/>
        </w:rPr>
      </w:pPr>
      <w:r/>
      <w:hyperlink w:tooltip="#_Toc224744381" w:anchor="_Toc224744381" w:history="1">
        <w:r>
          <w:rPr>
            <w:rStyle w:val="1083"/>
          </w:rPr>
          <w:t xml:space="preserve">15.</w:t>
        </w:r>
        <w:r>
          <w:rPr>
            <w:rFonts w:asciiTheme="minorHAnsi" w:hAnsiTheme="minorHAnsi" w:eastAsiaTheme="minorEastAsia"/>
            <w:b w:val="0"/>
            <w:caps w:val="0"/>
            <w:sz w:val="24"/>
            <w:szCs w:val="24"/>
            <w:lang w:eastAsia="ru-RU"/>
            <w14:ligatures w14:val="standardContextual"/>
          </w:rPr>
          <w:tab/>
        </w:r>
        <w:r>
          <w:rPr>
            <w:rStyle w:val="1083"/>
          </w:rPr>
          <w:t xml:space="preserve">Приложение № 10 – Форма Заявки на аккредитацию</w:t>
        </w:r>
        <w:r>
          <w:tab/>
        </w:r>
        <w:r>
          <w:fldChar w:fldCharType="begin"/>
        </w:r>
        <w:r>
          <w:instrText xml:space="preserve"> PAGEREF _Toc224744381 \h </w:instrText>
        </w:r>
        <w:r>
          <w:fldChar w:fldCharType="separate"/>
        </w:r>
        <w:r>
          <w:t xml:space="preserve">80</w:t>
        </w:r>
        <w:r>
          <w:fldChar w:fldCharType="end"/>
        </w:r>
      </w:hyperlink>
      <w:r>
        <w:rPr>
          <w:rFonts w:asciiTheme="minorHAnsi" w:hAnsiTheme="minorHAnsi" w:eastAsiaTheme="minorEastAsia"/>
          <w:b w:val="0"/>
          <w:caps w:val="0"/>
          <w:sz w:val="24"/>
          <w:szCs w:val="24"/>
          <w:lang w:eastAsia="ru-RU"/>
          <w14:ligatures w14:val="standardContextual"/>
        </w:rPr>
      </w:r>
      <w:r>
        <w:rPr>
          <w:rFonts w:asciiTheme="minorHAnsi" w:hAnsiTheme="minorHAnsi" w:eastAsiaTheme="minorEastAsia"/>
          <w:b w:val="0"/>
          <w:caps w:val="0"/>
          <w:sz w:val="24"/>
          <w:szCs w:val="24"/>
          <w:lang w:eastAsia="ru-RU"/>
          <w14:ligatures w14:val="standardContextual"/>
        </w:rPr>
      </w:r>
    </w:p>
    <w:p>
      <w:pPr>
        <w:pStyle w:val="1085"/>
        <w:rPr>
          <w:rFonts w:asciiTheme="minorHAnsi" w:hAnsiTheme="minorHAnsi" w:eastAsiaTheme="minorEastAsia"/>
          <w:sz w:val="24"/>
          <w:szCs w:val="24"/>
          <w:lang w:eastAsia="ru-RU"/>
          <w14:ligatures w14:val="standardContextual"/>
        </w:rPr>
      </w:pPr>
      <w:r/>
      <w:hyperlink w:tooltip="#_Toc224744382" w:anchor="_Toc224744382" w:history="1">
        <w:r>
          <w:rPr>
            <w:rStyle w:val="1083"/>
          </w:rPr>
          <w:t xml:space="preserve">15.1</w:t>
        </w:r>
        <w:r>
          <w:rPr>
            <w:rFonts w:asciiTheme="minorHAnsi" w:hAnsiTheme="minorHAnsi" w:eastAsiaTheme="minorEastAsia"/>
            <w:sz w:val="24"/>
            <w:szCs w:val="24"/>
            <w:lang w:eastAsia="ru-RU"/>
            <w14:ligatures w14:val="standardContextual"/>
          </w:rPr>
          <w:tab/>
        </w:r>
        <w:r>
          <w:rPr>
            <w:rStyle w:val="1083"/>
          </w:rPr>
          <w:t xml:space="preserve">Пояснения к форме Заявки на аккредитацию</w:t>
        </w:r>
        <w:r>
          <w:tab/>
        </w:r>
        <w:r>
          <w:fldChar w:fldCharType="begin"/>
        </w:r>
        <w:r>
          <w:instrText xml:space="preserve"> PAGEREF _Toc224744382 \h </w:instrText>
        </w:r>
        <w:r>
          <w:fldChar w:fldCharType="separate"/>
        </w:r>
        <w:r>
          <w:t xml:space="preserve">80</w:t>
        </w:r>
        <w:r>
          <w:fldChar w:fldCharType="end"/>
        </w:r>
      </w:hyperlink>
      <w:r>
        <w:rPr>
          <w:rFonts w:asciiTheme="minorHAnsi" w:hAnsiTheme="minorHAnsi" w:eastAsiaTheme="minorEastAsia"/>
          <w:sz w:val="24"/>
          <w:szCs w:val="24"/>
          <w:lang w:eastAsia="ru-RU"/>
          <w14:ligatures w14:val="standardContextual"/>
        </w:rPr>
      </w:r>
      <w:r>
        <w:rPr>
          <w:rFonts w:asciiTheme="minorHAnsi" w:hAnsiTheme="minorHAnsi" w:eastAsiaTheme="minorEastAsia"/>
          <w:sz w:val="24"/>
          <w:szCs w:val="24"/>
          <w:lang w:eastAsia="ru-RU"/>
          <w14:ligatures w14:val="standardContextual"/>
        </w:rPr>
      </w:r>
    </w:p>
    <w:p>
      <w:pPr>
        <w:pStyle w:val="1086"/>
        <w:rPr>
          <w:rFonts w:asciiTheme="minorHAnsi" w:hAnsiTheme="minorHAnsi" w:eastAsiaTheme="minorEastAsia"/>
          <w:b w:val="0"/>
          <w:caps w:val="0"/>
          <w:sz w:val="24"/>
          <w:szCs w:val="24"/>
          <w:lang w:eastAsia="ru-RU"/>
          <w14:ligatures w14:val="standardContextual"/>
        </w:rPr>
      </w:pPr>
      <w:r/>
      <w:hyperlink w:tooltip="#_Toc224744383" w:anchor="_Toc224744383" w:history="1">
        <w:r>
          <w:rPr>
            <w:rStyle w:val="1083"/>
          </w:rPr>
          <w:t xml:space="preserve">16.</w:t>
        </w:r>
        <w:r>
          <w:rPr>
            <w:rFonts w:asciiTheme="minorHAnsi" w:hAnsiTheme="minorHAnsi" w:eastAsiaTheme="minorEastAsia"/>
            <w:b w:val="0"/>
            <w:caps w:val="0"/>
            <w:sz w:val="24"/>
            <w:szCs w:val="24"/>
            <w:lang w:eastAsia="ru-RU"/>
            <w14:ligatures w14:val="standardContextual"/>
          </w:rPr>
          <w:tab/>
        </w:r>
        <w:r>
          <w:rPr>
            <w:rStyle w:val="1083"/>
          </w:rPr>
          <w:t xml:space="preserve">Приложение № 11 – форма Данных бухгалтерской (финансовой) отчетности</w:t>
        </w:r>
        <w:r>
          <w:tab/>
        </w:r>
        <w:r>
          <w:fldChar w:fldCharType="begin"/>
        </w:r>
        <w:r>
          <w:instrText xml:space="preserve"> PAGEREF _Toc224744383 \h </w:instrText>
        </w:r>
        <w:r>
          <w:fldChar w:fldCharType="separate"/>
        </w:r>
        <w:r>
          <w:t xml:space="preserve">81</w:t>
        </w:r>
        <w:r>
          <w:fldChar w:fldCharType="end"/>
        </w:r>
      </w:hyperlink>
      <w:r>
        <w:rPr>
          <w:rFonts w:asciiTheme="minorHAnsi" w:hAnsiTheme="minorHAnsi" w:eastAsiaTheme="minorEastAsia"/>
          <w:b w:val="0"/>
          <w:caps w:val="0"/>
          <w:sz w:val="24"/>
          <w:szCs w:val="24"/>
          <w:lang w:eastAsia="ru-RU"/>
          <w14:ligatures w14:val="standardContextual"/>
        </w:rPr>
      </w:r>
      <w:r>
        <w:rPr>
          <w:rFonts w:asciiTheme="minorHAnsi" w:hAnsiTheme="minorHAnsi" w:eastAsiaTheme="minorEastAsia"/>
          <w:b w:val="0"/>
          <w:caps w:val="0"/>
          <w:sz w:val="24"/>
          <w:szCs w:val="24"/>
          <w:lang w:eastAsia="ru-RU"/>
          <w14:ligatures w14:val="standardContextual"/>
        </w:rPr>
      </w:r>
    </w:p>
    <w:p>
      <w:pPr>
        <w:pStyle w:val="1085"/>
        <w:rPr>
          <w:rFonts w:asciiTheme="minorHAnsi" w:hAnsiTheme="minorHAnsi" w:eastAsiaTheme="minorEastAsia"/>
          <w:sz w:val="24"/>
          <w:szCs w:val="24"/>
          <w:lang w:eastAsia="ru-RU"/>
          <w14:ligatures w14:val="standardContextual"/>
        </w:rPr>
      </w:pPr>
      <w:r/>
      <w:hyperlink w:tooltip="#_Toc224744384" w:anchor="_Toc224744384" w:history="1">
        <w:r>
          <w:rPr>
            <w:rStyle w:val="1083"/>
          </w:rPr>
          <w:t xml:space="preserve">16.1</w:t>
        </w:r>
        <w:r>
          <w:rPr>
            <w:rFonts w:asciiTheme="minorHAnsi" w:hAnsiTheme="minorHAnsi" w:eastAsiaTheme="minorEastAsia"/>
            <w:sz w:val="24"/>
            <w:szCs w:val="24"/>
            <w:lang w:eastAsia="ru-RU"/>
            <w14:ligatures w14:val="standardContextual"/>
          </w:rPr>
          <w:tab/>
        </w:r>
        <w:r>
          <w:rPr>
            <w:rStyle w:val="1083"/>
          </w:rPr>
          <w:t xml:space="preserve">Пояснения к форме Данных бухгалтерской (финансовой) отчетности</w:t>
        </w:r>
        <w:r>
          <w:tab/>
        </w:r>
        <w:r>
          <w:fldChar w:fldCharType="begin"/>
        </w:r>
        <w:r>
          <w:instrText xml:space="preserve"> PAGEREF _Toc224744384 \h </w:instrText>
        </w:r>
        <w:r>
          <w:fldChar w:fldCharType="separate"/>
        </w:r>
        <w:r>
          <w:t xml:space="preserve">81</w:t>
        </w:r>
        <w:r>
          <w:fldChar w:fldCharType="end"/>
        </w:r>
      </w:hyperlink>
      <w:r>
        <w:rPr>
          <w:rFonts w:asciiTheme="minorHAnsi" w:hAnsiTheme="minorHAnsi" w:eastAsiaTheme="minorEastAsia"/>
          <w:sz w:val="24"/>
          <w:szCs w:val="24"/>
          <w:lang w:eastAsia="ru-RU"/>
          <w14:ligatures w14:val="standardContextual"/>
        </w:rPr>
      </w:r>
      <w:r>
        <w:rPr>
          <w:rFonts w:asciiTheme="minorHAnsi" w:hAnsiTheme="minorHAnsi" w:eastAsiaTheme="minorEastAsia"/>
          <w:sz w:val="24"/>
          <w:szCs w:val="24"/>
          <w:lang w:eastAsia="ru-RU"/>
          <w14:ligatures w14:val="standardContextual"/>
        </w:rPr>
      </w:r>
    </w:p>
    <w:p>
      <w:pPr>
        <w:pStyle w:val="1073"/>
      </w:pPr>
      <w:r>
        <w:fldChar w:fldCharType="end"/>
      </w:r>
      <w:r/>
    </w:p>
    <w:p>
      <w:pPr>
        <w:pStyle w:val="1073"/>
        <w:keepNext/>
        <w:spacing w:before="60"/>
        <w:rPr>
          <w:rStyle w:val="1104"/>
        </w:rPr>
      </w:pPr>
      <w:r>
        <w:rPr>
          <w:rStyle w:val="1104"/>
        </w:rPr>
        <w:t xml:space="preserve">[Примечание (дополнительные удобства работы с Документацией о закупке; </w:t>
      </w:r>
      <w:r>
        <w:rPr>
          <w:rStyle w:val="1104"/>
        </w:rPr>
        <w:t xml:space="preserve">Microsoft Word | </w:t>
      </w:r>
      <w:r>
        <w:rPr>
          <w:rStyle w:val="1104"/>
          <w:color w:val="4472c4" w:themeColor="accent1"/>
        </w:rPr>
        <w:t xml:space="preserve">AlterOffice AText – отмечены отличая для данного текстового редактора</w:t>
      </w:r>
      <w:r>
        <w:rPr>
          <w:rStyle w:val="1104"/>
        </w:rPr>
        <w:t xml:space="preserve">):</w:t>
      </w:r>
      <w:r>
        <w:rPr>
          <w:rStyle w:val="1104"/>
        </w:rPr>
      </w:r>
      <w:r>
        <w:rPr>
          <w:rStyle w:val="1104"/>
        </w:rPr>
      </w:r>
    </w:p>
    <w:p>
      <w:pPr>
        <w:pStyle w:val="1073"/>
        <w:numPr>
          <w:ilvl w:val="0"/>
          <w:numId w:val="16"/>
        </w:numPr>
        <w:ind w:left="284" w:hanging="284"/>
        <w:spacing w:before="60"/>
        <w:rPr>
          <w:rStyle w:val="1104"/>
        </w:rPr>
      </w:pPr>
      <w:r>
        <w:rPr>
          <w:rStyle w:val="1104"/>
        </w:rPr>
        <w:t xml:space="preserve">для навигации рекомендуется использовать боковое меню – включается на вкладке «Вид» в разделе «Отображение» опцией «Область навигации»</w:t>
      </w:r>
      <w:r>
        <w:rPr>
          <w:rStyle w:val="1104"/>
        </w:rPr>
        <w:t xml:space="preserve"> </w:t>
      </w:r>
      <w:r>
        <w:rPr>
          <w:rStyle w:val="1104"/>
        </w:rPr>
        <w:t xml:space="preserve">| </w:t>
      </w:r>
      <w:r>
        <w:rPr>
          <w:rStyle w:val="1104"/>
          <w:color w:val="4472c4" w:themeColor="accent1"/>
        </w:rPr>
        <w:t xml:space="preserve">включается на вкладке «Вид» опцией «Навигатор»</w:t>
      </w:r>
      <w:r>
        <w:rPr>
          <w:rStyle w:val="1104"/>
        </w:rPr>
        <w:t xml:space="preserve">;</w:t>
      </w:r>
      <w:r>
        <w:rPr>
          <w:rStyle w:val="1104"/>
        </w:rPr>
      </w:r>
      <w:r>
        <w:rPr>
          <w:rStyle w:val="1104"/>
        </w:rPr>
      </w:r>
    </w:p>
    <w:p>
      <w:pPr>
        <w:pStyle w:val="1073"/>
        <w:numPr>
          <w:ilvl w:val="0"/>
          <w:numId w:val="16"/>
        </w:numPr>
        <w:ind w:left="284" w:hanging="284"/>
        <w:spacing w:before="60"/>
        <w:rPr>
          <w:rStyle w:val="1104"/>
        </w:rPr>
      </w:pPr>
      <w:r>
        <w:rPr>
          <w:rStyle w:val="1104"/>
        </w:rPr>
        <w:t xml:space="preserve">переход по перекрестным и другим ссылкам осуществляется левым кликом мыши с</w:t>
      </w:r>
      <w:r>
        <w:rPr>
          <w:rStyle w:val="1104"/>
          <w:lang w:val="en-US"/>
        </w:rPr>
        <w:t xml:space="preserve"> </w:t>
      </w:r>
      <w:r>
        <w:rPr>
          <w:rStyle w:val="1104"/>
        </w:rPr>
        <w:t xml:space="preserve">зажатой клавишей Ctrl, обратный возврат на место в тексте, с </w:t>
      </w:r>
      <w:r>
        <w:rPr>
          <w:rStyle w:val="1104"/>
        </w:rPr>
        <w:t xml:space="preserve">котор</w:t>
      </w:r>
      <w:r>
        <w:rPr>
          <w:rStyle w:val="1104"/>
        </w:rPr>
        <w:t xml:space="preserve">ого</w:t>
      </w:r>
      <w:r>
        <w:rPr>
          <w:rStyle w:val="1104"/>
        </w:rPr>
        <w:t xml:space="preserve"> </w:t>
      </w:r>
      <w:r>
        <w:rPr>
          <w:rStyle w:val="1104"/>
        </w:rPr>
        <w:t xml:space="preserve">был </w:t>
      </w:r>
      <w:r>
        <w:rPr>
          <w:rStyle w:val="1104"/>
        </w:rPr>
        <w:t xml:space="preserve">сделан</w:t>
      </w:r>
      <w:r>
        <w:rPr>
          <w:rStyle w:val="1104"/>
        </w:rPr>
        <w:t xml:space="preserve"> </w:t>
      </w:r>
      <w:r>
        <w:rPr>
          <w:rStyle w:val="1104"/>
        </w:rPr>
        <w:t xml:space="preserve">переход, осуществляется нажатием стрелки влево (←) с зажатой левой клавишей Alt</w:t>
      </w:r>
      <w:r>
        <w:rPr>
          <w:rStyle w:val="1104"/>
        </w:rPr>
        <w:t xml:space="preserve"> </w:t>
      </w:r>
      <w:r>
        <w:rPr>
          <w:rStyle w:val="1104"/>
          <w:color w:val="4472c4" w:themeColor="accent1"/>
        </w:rPr>
        <w:t xml:space="preserve">(обратный переход функционально не реализован в AlterOffice AText, пользуйтесь функциональностью «Навигатор»)</w:t>
      </w:r>
      <w:r>
        <w:rPr>
          <w:rStyle w:val="1104"/>
        </w:rPr>
        <w:t xml:space="preserve">;</w:t>
      </w:r>
      <w:r>
        <w:rPr>
          <w:rStyle w:val="1104"/>
        </w:rPr>
      </w:r>
      <w:r>
        <w:rPr>
          <w:rStyle w:val="1104"/>
        </w:rPr>
      </w:r>
    </w:p>
    <w:p>
      <w:pPr>
        <w:pStyle w:val="1073"/>
        <w:numPr>
          <w:ilvl w:val="0"/>
          <w:numId w:val="16"/>
        </w:numPr>
        <w:ind w:left="284" w:hanging="284"/>
        <w:spacing w:before="60"/>
        <w:rPr>
          <w:rStyle w:val="1104"/>
        </w:rPr>
      </w:pPr>
      <w:r>
        <w:rPr>
          <w:rStyle w:val="1104"/>
        </w:rPr>
        <w:t xml:space="preserve">открытие внедренного в текст документа (файла) осуществляется по двойному клику левой клавиши мыши по соответствующей иконк</w:t>
      </w:r>
      <w:r>
        <w:rPr>
          <w:rStyle w:val="1104"/>
        </w:rPr>
        <w:t xml:space="preserve">е</w:t>
      </w:r>
      <w:r>
        <w:rPr>
          <w:rStyle w:val="1104"/>
        </w:rPr>
        <w:t xml:space="preserve"> документа (файла) в</w:t>
      </w:r>
      <w:r>
        <w:rPr>
          <w:rStyle w:val="1104"/>
          <w:lang w:val="en-US"/>
        </w:rPr>
        <w:t xml:space="preserve"> </w:t>
      </w:r>
      <w:r>
        <w:rPr>
          <w:rStyle w:val="1104"/>
        </w:rPr>
        <w:t xml:space="preserve">тексте</w:t>
      </w:r>
      <w:r>
        <w:rPr>
          <w:rStyle w:val="1104"/>
        </w:rPr>
        <w:t xml:space="preserve">;</w:t>
      </w:r>
      <w:r>
        <w:rPr>
          <w:rStyle w:val="1104"/>
        </w:rPr>
      </w:r>
      <w:r>
        <w:rPr>
          <w:rStyle w:val="1104"/>
        </w:rPr>
      </w:r>
    </w:p>
    <w:p>
      <w:pPr>
        <w:pStyle w:val="1073"/>
        <w:numPr>
          <w:ilvl w:val="0"/>
          <w:numId w:val="16"/>
        </w:numPr>
        <w:ind w:left="284" w:hanging="284"/>
        <w:spacing w:before="60"/>
        <w:rPr>
          <w:rStyle w:val="1104"/>
        </w:rPr>
      </w:pPr>
      <w:r>
        <w:rPr>
          <w:rStyle w:val="1104"/>
          <w:color w:val="4472c4" w:themeColor="accent1"/>
        </w:rPr>
        <w:t xml:space="preserve">отключение затенения серыми блоками по тексту объектов, в том числе некоторых неразрывных пробелов и перекрестных ссылок: Ctrl + F8 (только для AlterOffice AText)</w:t>
      </w:r>
      <w:r>
        <w:rPr>
          <w:rStyle w:val="1104"/>
        </w:rPr>
        <w:t xml:space="preserve">.]</w:t>
      </w:r>
      <w:r>
        <w:rPr>
          <w:rStyle w:val="1104"/>
        </w:rPr>
      </w:r>
      <w:r>
        <w:rPr>
          <w:rStyle w:val="1104"/>
        </w:rPr>
      </w:r>
    </w:p>
    <w:p>
      <w:pPr>
        <w:pStyle w:val="1072"/>
        <w:outlineLvl w:val="0"/>
      </w:pPr>
      <w:r/>
      <w:bookmarkStart w:id="0" w:name="_Toc224744282"/>
      <w:r>
        <w:t xml:space="preserve">Сокращения</w:t>
      </w:r>
      <w:bookmarkEnd w:id="0"/>
      <w:r/>
      <w:r/>
    </w:p>
    <w:p>
      <w:pPr>
        <w:pStyle w:val="1073"/>
        <w:ind w:firstLine="567"/>
      </w:pPr>
      <w:r>
        <w:rPr>
          <w:b/>
          <w:bCs/>
        </w:rPr>
        <w:t xml:space="preserve">ГК РФ</w:t>
      </w:r>
      <w:r>
        <w:t xml:space="preserve"> – Гражданской кодекс Российской Федерации.</w:t>
      </w:r>
      <w:r/>
    </w:p>
    <w:p>
      <w:pPr>
        <w:pStyle w:val="1073"/>
        <w:ind w:firstLine="567"/>
      </w:pPr>
      <w:r>
        <w:rPr>
          <w:b/>
          <w:bCs/>
        </w:rPr>
        <w:t xml:space="preserve">Декларация ПИРААП</w:t>
      </w:r>
      <w:r>
        <w:t xml:space="preserve"> – </w:t>
      </w:r>
      <w:r>
        <w:t xml:space="preserve">декларация о подтверждении использования при</w:t>
      </w:r>
      <w:r>
        <w:t xml:space="preserve"> </w:t>
      </w:r>
      <w:r>
        <w:t xml:space="preserve">изготовлении продукции российского алюминия </w:t>
      </w:r>
      <w:r>
        <w:t xml:space="preserve">и</w:t>
      </w:r>
      <w:r>
        <w:t xml:space="preserve"> (</w:t>
      </w:r>
      <w:r>
        <w:t xml:space="preserve">или</w:t>
      </w:r>
      <w:r>
        <w:t xml:space="preserve">)</w:t>
      </w:r>
      <w:r>
        <w:t xml:space="preserve"> его полуфабрикатов с</w:t>
      </w:r>
      <w:r>
        <w:t xml:space="preserve"> </w:t>
      </w:r>
      <w:r>
        <w:t xml:space="preserve">указанием их доли в общем объеме используемого алюминия </w:t>
      </w:r>
      <w:r>
        <w:t xml:space="preserve">и</w:t>
      </w:r>
      <w:r>
        <w:t xml:space="preserve"> (</w:t>
      </w:r>
      <w:r>
        <w:t xml:space="preserve">или</w:t>
      </w:r>
      <w:r>
        <w:t xml:space="preserve">)</w:t>
      </w:r>
      <w:r>
        <w:t xml:space="preserve"> его полуфабрикатов в натуральном выражении</w:t>
      </w:r>
      <w:r>
        <w:t xml:space="preserve">.</w:t>
      </w:r>
      <w:r/>
    </w:p>
    <w:p>
      <w:pPr>
        <w:pStyle w:val="1073"/>
        <w:ind w:firstLine="567"/>
      </w:pPr>
      <w:r>
        <w:rPr>
          <w:b/>
          <w:bCs/>
        </w:rPr>
        <w:t xml:space="preserve">ЕАЭС</w:t>
      </w:r>
      <w:r>
        <w:t xml:space="preserve"> – Евразийский экономический союз</w:t>
      </w:r>
      <w:r>
        <w:t xml:space="preserve">.</w:t>
      </w:r>
      <w:r/>
    </w:p>
    <w:p>
      <w:pPr>
        <w:pStyle w:val="1073"/>
        <w:ind w:firstLine="567"/>
      </w:pPr>
      <w:r>
        <w:rPr>
          <w:b/>
          <w:bCs/>
        </w:rPr>
        <w:t xml:space="preserve">ЕГРИП</w:t>
      </w:r>
      <w:r>
        <w:t xml:space="preserve"> – </w:t>
      </w:r>
      <w:r>
        <w:t xml:space="preserve">Е</w:t>
      </w:r>
      <w:r>
        <w:t xml:space="preserve">диный государственный реестр индивидуальных предпринимателей.</w:t>
      </w:r>
      <w:r/>
    </w:p>
    <w:p>
      <w:pPr>
        <w:pStyle w:val="1073"/>
        <w:ind w:firstLine="567"/>
      </w:pPr>
      <w:r>
        <w:rPr>
          <w:b/>
          <w:bCs/>
        </w:rPr>
        <w:t xml:space="preserve">ЕГРЮЛ</w:t>
      </w:r>
      <w:r>
        <w:t xml:space="preserve"> – </w:t>
      </w:r>
      <w:r>
        <w:t xml:space="preserve">Е</w:t>
      </w:r>
      <w:r>
        <w:t xml:space="preserve">диный государственный реестр юридических лиц.</w:t>
      </w:r>
      <w:r/>
    </w:p>
    <w:p>
      <w:pPr>
        <w:pStyle w:val="1073"/>
        <w:ind w:firstLine="567"/>
      </w:pPr>
      <w:r>
        <w:rPr>
          <w:b/>
          <w:bCs/>
        </w:rPr>
        <w:t xml:space="preserve">ЕИС</w:t>
      </w:r>
      <w:r>
        <w:t xml:space="preserve"> – </w:t>
      </w:r>
      <w:r>
        <w:t xml:space="preserve">Е</w:t>
      </w:r>
      <w:r>
        <w:t xml:space="preserve">диная информационная система в сфере закупок</w:t>
      </w:r>
      <w:r>
        <w:t xml:space="preserve">.</w:t>
      </w:r>
      <w:r/>
    </w:p>
    <w:p>
      <w:pPr>
        <w:pStyle w:val="1073"/>
        <w:ind w:firstLine="567"/>
      </w:pPr>
      <w:r>
        <w:rPr>
          <w:b/>
          <w:bCs/>
        </w:rPr>
        <w:t xml:space="preserve">Закон 44-ФЗ</w:t>
      </w:r>
      <w:r>
        <w:t xml:space="preserve"> – Федеральный закон от 05.04.2013 № 44-ФЗ «О</w:t>
      </w:r>
      <w:r>
        <w:t xml:space="preserve"> </w:t>
      </w:r>
      <w:r>
        <w:t xml:space="preserve">контрактной системе в</w:t>
      </w:r>
      <w:r>
        <w:rPr>
          <w:lang w:val="en-US"/>
        </w:rPr>
        <w:t xml:space="preserve"> </w:t>
      </w:r>
      <w:r>
        <w:t xml:space="preserve">сфере закупок товаров, работ, услуг для обеспечения государственных и муниципальных нужд».</w:t>
      </w:r>
      <w:r/>
    </w:p>
    <w:p>
      <w:pPr>
        <w:pStyle w:val="1073"/>
        <w:ind w:firstLine="567"/>
      </w:pPr>
      <w:r>
        <w:rPr>
          <w:b/>
          <w:bCs/>
        </w:rPr>
        <w:t xml:space="preserve">Закон </w:t>
      </w:r>
      <w:r>
        <w:rPr>
          <w:b/>
          <w:bCs/>
        </w:rPr>
        <w:t xml:space="preserve">209</w:t>
      </w:r>
      <w:r>
        <w:rPr>
          <w:b/>
          <w:bCs/>
        </w:rPr>
        <w:t xml:space="preserve">-ФЗ</w:t>
      </w:r>
      <w:r>
        <w:t xml:space="preserve"> – </w:t>
      </w:r>
      <w:r>
        <w:t xml:space="preserve">Федеральны</w:t>
      </w:r>
      <w:r>
        <w:t xml:space="preserve">й</w:t>
      </w:r>
      <w:r>
        <w:t xml:space="preserve"> закон от 24.07.2007 №</w:t>
      </w:r>
      <w:r>
        <w:t xml:space="preserve"> </w:t>
      </w:r>
      <w:r>
        <w:t xml:space="preserve">209-ФЗ «О развитии малого и среднего предпринимательства в Российской Федерации»</w:t>
      </w:r>
      <w:r>
        <w:t xml:space="preserve">.</w:t>
      </w:r>
      <w:r/>
    </w:p>
    <w:p>
      <w:pPr>
        <w:pStyle w:val="1073"/>
        <w:ind w:firstLine="567"/>
      </w:pPr>
      <w:r>
        <w:rPr>
          <w:b/>
          <w:bCs/>
        </w:rPr>
        <w:t xml:space="preserve">Закон 223-ФЗ</w:t>
      </w:r>
      <w:r>
        <w:t xml:space="preserve"> – Федеральный закон от 18.07.2011 № 223-ФЗ «О</w:t>
      </w:r>
      <w:r>
        <w:t xml:space="preserve"> </w:t>
      </w:r>
      <w:r>
        <w:t xml:space="preserve">закупках товаров, работ, услуг отдельными видами юридических лиц».</w:t>
      </w:r>
      <w:r/>
    </w:p>
    <w:p>
      <w:pPr>
        <w:pStyle w:val="1073"/>
        <w:ind w:firstLine="567"/>
      </w:pPr>
      <w:r>
        <w:rPr>
          <w:b/>
          <w:bCs/>
        </w:rPr>
        <w:t xml:space="preserve">Закон </w:t>
      </w:r>
      <w:r>
        <w:rPr>
          <w:b/>
          <w:bCs/>
        </w:rPr>
        <w:t xml:space="preserve">255</w:t>
      </w:r>
      <w:r>
        <w:rPr>
          <w:b/>
          <w:bCs/>
        </w:rPr>
        <w:t xml:space="preserve">-ФЗ</w:t>
      </w:r>
      <w:r>
        <w:t xml:space="preserve"> – </w:t>
      </w:r>
      <w:r>
        <w:t xml:space="preserve">Федеральны</w:t>
      </w:r>
      <w:r>
        <w:t xml:space="preserve">й</w:t>
      </w:r>
      <w:r>
        <w:t xml:space="preserve"> закон от 14.07.2022 №</w:t>
      </w:r>
      <w:r>
        <w:t xml:space="preserve"> </w:t>
      </w:r>
      <w:r>
        <w:t xml:space="preserve">255-ФЗ «О контроле за</w:t>
      </w:r>
      <w:r>
        <w:t xml:space="preserve"> </w:t>
      </w:r>
      <w:r>
        <w:t xml:space="preserve">деятельностью лиц, находящихся под иностранным влиянием»</w:t>
      </w:r>
      <w:r>
        <w:t xml:space="preserve">.</w:t>
      </w:r>
      <w:r/>
    </w:p>
    <w:p>
      <w:pPr>
        <w:pStyle w:val="1073"/>
        <w:ind w:firstLine="567"/>
      </w:pPr>
      <w:r>
        <w:rPr>
          <w:b/>
          <w:bCs/>
        </w:rPr>
        <w:t xml:space="preserve">Закон 422-ФЗ</w:t>
      </w:r>
      <w:r>
        <w:t xml:space="preserve"> – </w:t>
      </w:r>
      <w:r>
        <w:t xml:space="preserve">Федеральны</w:t>
      </w:r>
      <w:r>
        <w:t xml:space="preserve">й</w:t>
      </w:r>
      <w:r>
        <w:t xml:space="preserve"> закон от 27.11.2018 №</w:t>
      </w:r>
      <w:r>
        <w:t xml:space="preserve"> </w:t>
      </w:r>
      <w:r>
        <w:t xml:space="preserve">422-ФЗ «О проведении эксперимента по установлению специального налогового режима «Налог на</w:t>
      </w:r>
      <w:r>
        <w:t xml:space="preserve"> </w:t>
      </w:r>
      <w:r>
        <w:t xml:space="preserve">профессиональный доход»</w:t>
      </w:r>
      <w:r>
        <w:t xml:space="preserve">.</w:t>
      </w:r>
      <w:r/>
    </w:p>
    <w:p>
      <w:pPr>
        <w:pStyle w:val="1073"/>
        <w:ind w:firstLine="567"/>
      </w:pPr>
      <w:r>
        <w:rPr>
          <w:b/>
          <w:bCs/>
        </w:rPr>
        <w:t xml:space="preserve">Законодательство</w:t>
      </w:r>
      <w:r>
        <w:t xml:space="preserve"> – </w:t>
      </w:r>
      <w:r>
        <w:t xml:space="preserve">законодательство Российской Федерации (если в тексте настояще</w:t>
      </w:r>
      <w:r>
        <w:t xml:space="preserve">й Документации о закупке </w:t>
      </w:r>
      <w:r>
        <w:t xml:space="preserve">прямо не указано иное)</w:t>
      </w:r>
      <w:r>
        <w:t xml:space="preserve">.</w:t>
      </w:r>
      <w:r/>
    </w:p>
    <w:p>
      <w:pPr>
        <w:pStyle w:val="1073"/>
        <w:ind w:firstLine="567"/>
      </w:pPr>
      <w:r>
        <w:rPr>
          <w:b/>
          <w:bCs/>
        </w:rPr>
        <w:t xml:space="preserve">Извещение</w:t>
      </w:r>
      <w:r>
        <w:t xml:space="preserve"> – </w:t>
      </w:r>
      <w:r>
        <w:t xml:space="preserve">и</w:t>
      </w:r>
      <w:r>
        <w:t xml:space="preserve">звещение о проведении настоящей закупки.</w:t>
      </w:r>
      <w:r/>
    </w:p>
    <w:p>
      <w:pPr>
        <w:pStyle w:val="1073"/>
        <w:ind w:firstLine="567"/>
      </w:pPr>
      <w:r>
        <w:rPr>
          <w:b/>
          <w:bCs/>
        </w:rPr>
        <w:t xml:space="preserve">ИНН</w:t>
      </w:r>
      <w:r>
        <w:t xml:space="preserve"> – идентификационный номер налогоплательщика.</w:t>
      </w:r>
      <w:r/>
    </w:p>
    <w:p>
      <w:pPr>
        <w:pStyle w:val="1073"/>
        <w:ind w:firstLine="567"/>
      </w:pPr>
      <w:r>
        <w:rPr>
          <w:b/>
          <w:bCs/>
        </w:rPr>
        <w:t xml:space="preserve">ИФНС</w:t>
      </w:r>
      <w:r>
        <w:t xml:space="preserve"> </w:t>
      </w:r>
      <w:r>
        <w:t xml:space="preserve">– </w:t>
      </w:r>
      <w:r>
        <w:t xml:space="preserve">инспекция Федеральной налоговой службы Российской Федерации.</w:t>
      </w:r>
      <w:r/>
    </w:p>
    <w:p>
      <w:pPr>
        <w:pStyle w:val="1073"/>
        <w:ind w:firstLine="567"/>
      </w:pPr>
      <w:r>
        <w:rPr>
          <w:b/>
          <w:bCs/>
        </w:rPr>
        <w:t xml:space="preserve">МТР</w:t>
      </w:r>
      <w:r>
        <w:t xml:space="preserve"> – материально-технические ресурсы.</w:t>
      </w:r>
      <w:r/>
    </w:p>
    <w:p>
      <w:pPr>
        <w:pStyle w:val="1073"/>
        <w:ind w:firstLine="567"/>
      </w:pPr>
      <w:r>
        <w:rPr>
          <w:b/>
          <w:bCs/>
        </w:rPr>
        <w:t xml:space="preserve">НДС</w:t>
      </w:r>
      <w:r>
        <w:t xml:space="preserve"> – налог на добавленную стоимость.</w:t>
      </w:r>
      <w:r/>
    </w:p>
    <w:p>
      <w:pPr>
        <w:pStyle w:val="1073"/>
        <w:ind w:firstLine="567"/>
      </w:pPr>
      <w:r>
        <w:rPr>
          <w:b/>
          <w:bCs/>
        </w:rPr>
        <w:t xml:space="preserve">НМЦ</w:t>
      </w:r>
      <w:r>
        <w:t xml:space="preserve"> – начальная (максимальная) цена договора.</w:t>
      </w:r>
      <w:r/>
    </w:p>
    <w:p>
      <w:pPr>
        <w:pStyle w:val="1073"/>
        <w:ind w:firstLine="567"/>
      </w:pPr>
      <w:r>
        <w:rPr>
          <w:b/>
          <w:bCs/>
        </w:rPr>
        <w:t xml:space="preserve">Оператор ЭП</w:t>
      </w:r>
      <w:r>
        <w:t xml:space="preserve"> –</w:t>
      </w:r>
      <w:r>
        <w:t xml:space="preserve"> оператор электронной площадки.</w:t>
      </w:r>
      <w:r/>
    </w:p>
    <w:p>
      <w:pPr>
        <w:pStyle w:val="1073"/>
        <w:ind w:firstLine="567"/>
      </w:pPr>
      <w:r>
        <w:rPr>
          <w:b/>
          <w:bCs/>
        </w:rPr>
        <w:t xml:space="preserve">Официальный сайт</w:t>
      </w:r>
      <w:r>
        <w:t xml:space="preserve"> – </w:t>
      </w:r>
      <w:r>
        <w:t xml:space="preserve">официальный сайт </w:t>
      </w:r>
      <w:r>
        <w:t xml:space="preserve">Е</w:t>
      </w:r>
      <w:r>
        <w:t xml:space="preserve">диной информационной системы в сфере закупок, расположенный </w:t>
      </w:r>
      <w:r>
        <w:t xml:space="preserve">в сети Интернет </w:t>
      </w:r>
      <w:r>
        <w:t xml:space="preserve">по </w:t>
      </w:r>
      <w:r>
        <w:rPr>
          <w:lang w:val="en-US"/>
        </w:rPr>
        <w:t xml:space="preserve">URL</w:t>
      </w:r>
      <w:r>
        <w:t xml:space="preserve">-</w:t>
      </w:r>
      <w:r>
        <w:t xml:space="preserve">адресу </w:t>
      </w:r>
      <w:r>
        <w:t xml:space="preserve">https://zakupki.gov.ru/</w:t>
      </w:r>
      <w:r>
        <w:t xml:space="preserve">.</w:t>
      </w:r>
      <w:r/>
    </w:p>
    <w:p>
      <w:pPr>
        <w:pStyle w:val="1073"/>
        <w:ind w:firstLine="567"/>
      </w:pPr>
      <w:r>
        <w:rPr>
          <w:b/>
          <w:bCs/>
        </w:rPr>
        <w:t xml:space="preserve">Положение о закупке</w:t>
      </w:r>
      <w:r>
        <w:t xml:space="preserve"> – Единое Положение о закупке продукции для нужд Группы РусГидро.</w:t>
      </w:r>
      <w:r/>
    </w:p>
    <w:p>
      <w:pPr>
        <w:pStyle w:val="1073"/>
        <w:ind w:firstLine="567"/>
      </w:pPr>
      <w:r>
        <w:rPr>
          <w:b/>
          <w:bCs/>
        </w:rPr>
        <w:t xml:space="preserve">Положение о</w:t>
      </w:r>
      <w:r>
        <w:rPr>
          <w:b/>
          <w:bCs/>
        </w:rPr>
        <w:t xml:space="preserve">б</w:t>
      </w:r>
      <w:r>
        <w:rPr>
          <w:b/>
          <w:bCs/>
        </w:rPr>
        <w:t xml:space="preserve"> </w:t>
      </w:r>
      <w:r>
        <w:rPr>
          <w:b/>
          <w:bCs/>
        </w:rPr>
        <w:t xml:space="preserve">аккредитации</w:t>
      </w:r>
      <w:r>
        <w:t xml:space="preserve"> – Единое Положение о</w:t>
      </w:r>
      <w:r>
        <w:t xml:space="preserve">б аккредитации поставщиков продукции в Группе РусГидро, размещенное на Официальном сайте (</w:t>
      </w:r>
      <w:r>
        <w:t xml:space="preserve">в составе</w:t>
      </w:r>
      <w:r>
        <w:t xml:space="preserve"> Положени</w:t>
      </w:r>
      <w:r>
        <w:t xml:space="preserve">я</w:t>
      </w:r>
      <w:r>
        <w:t xml:space="preserve"> о закупке)</w:t>
      </w:r>
      <w:r>
        <w:t xml:space="preserve">.</w:t>
      </w:r>
      <w:r/>
    </w:p>
    <w:p>
      <w:pPr>
        <w:pStyle w:val="1073"/>
        <w:ind w:firstLine="567"/>
      </w:pPr>
      <w:r>
        <w:rPr>
          <w:b/>
          <w:bCs/>
        </w:rPr>
        <w:t xml:space="preserve">ПП 325</w:t>
      </w:r>
      <w:r>
        <w:t xml:space="preserve"> – постановление Правительства Российской Федерации от 23.03.2017 № 325 «Об утверждении дополнительных требований к программам для электронн</w:t>
      </w:r>
      <w:r>
        <w:t xml:space="preserve">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r/>
    </w:p>
    <w:p>
      <w:pPr>
        <w:pStyle w:val="1073"/>
        <w:ind w:firstLine="567"/>
      </w:pPr>
      <w:r>
        <w:rPr>
          <w:b/>
          <w:bCs/>
        </w:rPr>
        <w:t xml:space="preserve">ПП 719</w:t>
      </w:r>
      <w:r>
        <w:t xml:space="preserve"> – постановление Правительства Российской Федерации от 17.07. 2014 № 719 «О подтверждении производства российской промышленной продукции».</w:t>
      </w:r>
      <w:r/>
    </w:p>
    <w:p>
      <w:pPr>
        <w:pStyle w:val="1073"/>
        <w:ind w:firstLine="567"/>
      </w:pPr>
      <w:r/>
      <w:r/>
    </w:p>
    <w:p>
      <w:pPr>
        <w:pStyle w:val="1073"/>
        <w:ind w:firstLine="567"/>
      </w:pPr>
      <w:r>
        <w:rPr>
          <w:b/>
          <w:bCs/>
        </w:rPr>
        <w:t xml:space="preserve">ПП 1352</w:t>
      </w:r>
      <w:r>
        <w:t xml:space="preserve"> – постановление Правительства </w:t>
      </w:r>
      <w:r>
        <w:t xml:space="preserve">Российской Федерации </w:t>
      </w:r>
      <w:r>
        <w:t xml:space="preserve">от 11.12.2014 № 1352 «Об</w:t>
      </w:r>
      <w:r>
        <w:t xml:space="preserve"> </w:t>
      </w:r>
      <w:r>
        <w:t xml:space="preserve">особенностях участия субъектов малого и среднего предпринимательства в закупках товаров, работ, услуг отдельными видами юридических лиц».</w:t>
      </w:r>
      <w:r/>
    </w:p>
    <w:p>
      <w:pPr>
        <w:pStyle w:val="1073"/>
        <w:ind w:firstLine="567"/>
      </w:pPr>
      <w:r>
        <w:rPr>
          <w:b/>
          <w:bCs/>
        </w:rPr>
        <w:t xml:space="preserve">ПП</w:t>
      </w:r>
      <w:r>
        <w:rPr>
          <w:b/>
          <w:bCs/>
        </w:rPr>
        <w:t xml:space="preserve"> </w:t>
      </w:r>
      <w:r>
        <w:rPr>
          <w:b/>
          <w:bCs/>
        </w:rPr>
        <w:t xml:space="preserve">1875</w:t>
      </w:r>
      <w:r>
        <w:t xml:space="preserve"> – постановление Правительства </w:t>
      </w:r>
      <w:r>
        <w:t xml:space="preserve">Российской Федерации </w:t>
      </w:r>
      <w:r>
        <w:t xml:space="preserve">от 23.12.2024 №</w:t>
      </w:r>
      <w:r>
        <w:t xml:space="preserve"> </w:t>
      </w:r>
      <w:r>
        <w:t xml:space="preserve">1875 «О мерах по</w:t>
      </w:r>
      <w:r>
        <w:t xml:space="preserve"> </w:t>
      </w:r>
      <w:r>
        <w:t xml:space="preserve">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p>
    <w:p>
      <w:pPr>
        <w:pStyle w:val="1073"/>
        <w:ind w:firstLine="567"/>
      </w:pPr>
      <w:r>
        <w:rPr>
          <w:b/>
          <w:bCs/>
        </w:rPr>
        <w:t xml:space="preserve">Реестр МСП</w:t>
      </w:r>
      <w:r>
        <w:t xml:space="preserve"> – единый реестр субъектов малого и среднего предпринимательства, ведение которого осуществляется в соответствии с Законом 209-ФЗ.</w:t>
      </w:r>
      <w:r/>
    </w:p>
    <w:p>
      <w:pPr>
        <w:pStyle w:val="1073"/>
        <w:ind w:firstLine="567"/>
      </w:pPr>
      <w:r>
        <w:rPr>
          <w:b/>
          <w:bCs/>
        </w:rPr>
        <w:t xml:space="preserve">Стороны</w:t>
      </w:r>
      <w:r>
        <w:t xml:space="preserve"> – Организатор, Заказчик и Участники, являющиеся сторонами данной закупки (при совместном упоминании).</w:t>
      </w:r>
      <w:r/>
    </w:p>
    <w:p>
      <w:pPr>
        <w:pStyle w:val="1073"/>
        <w:ind w:firstLine="567"/>
      </w:pPr>
      <w:r>
        <w:rPr>
          <w:b/>
          <w:bCs/>
        </w:rPr>
        <w:t xml:space="preserve">Субъект МСП</w:t>
      </w:r>
      <w:r>
        <w:t xml:space="preserve"> – субъект малого и среднего предпринимательства.</w:t>
      </w:r>
      <w:r/>
    </w:p>
    <w:p>
      <w:pPr>
        <w:pStyle w:val="1073"/>
        <w:ind w:firstLine="567"/>
      </w:pPr>
      <w:r>
        <w:rPr>
          <w:b/>
          <w:bCs/>
        </w:rPr>
        <w:t xml:space="preserve">ЭП</w:t>
      </w:r>
      <w:r>
        <w:t xml:space="preserve"> – электронная площадка.</w:t>
      </w:r>
      <w:r/>
    </w:p>
    <w:p>
      <w:pPr>
        <w:pStyle w:val="1072"/>
        <w:outlineLvl w:val="0"/>
      </w:pPr>
      <w:r/>
      <w:bookmarkStart w:id="1" w:name="_Toc224744283"/>
      <w:r>
        <w:t xml:space="preserve">Термины и определения</w:t>
      </w:r>
      <w:bookmarkEnd w:id="1"/>
      <w:r/>
      <w:r/>
    </w:p>
    <w:p>
      <w:pPr>
        <w:pStyle w:val="1073"/>
        <w:ind w:firstLine="567"/>
      </w:pPr>
      <w:r>
        <w:rPr>
          <w:b/>
          <w:bCs/>
        </w:rPr>
        <w:t xml:space="preserve">Аккредитация</w:t>
      </w:r>
      <w:r>
        <w:t xml:space="preserve"> – процедура проверки заявителей (потенциальных поставщиков) </w:t>
      </w:r>
      <w:r>
        <w:t xml:space="preserve">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w:t>
      </w:r>
      <w:r>
        <w:t xml:space="preserve">с целью </w:t>
      </w:r>
      <w:r>
        <w:t xml:space="preserve">защиты интересов Заказчика от действий недобросовестных лиц и неблагонадежных поставщиков продукции при проведении закупочных процедур</w:t>
      </w:r>
      <w:r>
        <w:t xml:space="preserve"> и выборе Победителя</w:t>
      </w:r>
      <w:r>
        <w:t xml:space="preserve">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w:t>
      </w:r>
      <w:r>
        <w:t xml:space="preserve">и</w:t>
      </w:r>
      <w:r>
        <w:t xml:space="preserve"> об аккредитации.</w:t>
      </w:r>
      <w:r/>
    </w:p>
    <w:p>
      <w:pPr>
        <w:pStyle w:val="1073"/>
        <w:ind w:firstLine="567"/>
      </w:pPr>
      <w:r>
        <w:rPr>
          <w:b/>
          <w:bCs/>
        </w:rPr>
        <w:t xml:space="preserve">Актуализация статуса </w:t>
      </w:r>
      <w:r>
        <w:rPr>
          <w:b/>
          <w:bCs/>
        </w:rPr>
        <w:t xml:space="preserve">(</w:t>
      </w:r>
      <w:r>
        <w:rPr>
          <w:b/>
          <w:bCs/>
        </w:rPr>
        <w:t xml:space="preserve">аккредитации</w:t>
      </w:r>
      <w:r>
        <w:rPr>
          <w:b/>
          <w:bCs/>
        </w:rPr>
        <w:t xml:space="preserve">)</w:t>
      </w:r>
      <w:r>
        <w:t xml:space="preserve"> – </w:t>
      </w:r>
      <w:r>
        <w:t xml:space="preserve">процедура повторной проверки определенного (конкретного) ранее аккредитованного Поставщика на предмет соответствия его установленным критериям </w:t>
      </w:r>
      <w:r>
        <w:t xml:space="preserve">а</w:t>
      </w:r>
      <w:r>
        <w:t xml:space="preserve">ккредитации (или наличия оснований, по</w:t>
      </w:r>
      <w:r>
        <w:t xml:space="preserve"> </w:t>
      </w:r>
      <w:r>
        <w:t xml:space="preserve">которым прохождение </w:t>
      </w:r>
      <w:r>
        <w:t xml:space="preserve">а</w:t>
      </w:r>
      <w:r>
        <w:t xml:space="preserve">ккредитации не требуется), с продлением срока действия его аккредитации в случае положительного результата такой проверки; при этом от</w:t>
      </w:r>
      <w:r>
        <w:t xml:space="preserve"> </w:t>
      </w:r>
      <w:r>
        <w:t xml:space="preserve">Поставщика (Участника) не требуется повторное заполнение Заявки на аккредитацию</w:t>
      </w:r>
      <w:r>
        <w:t xml:space="preserve">.</w:t>
      </w:r>
      <w:r/>
    </w:p>
    <w:p>
      <w:pPr>
        <w:pStyle w:val="1073"/>
        <w:ind w:firstLine="567"/>
      </w:pPr>
      <w:r>
        <w:rPr>
          <w:b/>
          <w:bCs/>
        </w:rPr>
        <w:t xml:space="preserve">Генеральный подрядчик</w:t>
      </w:r>
      <w:r>
        <w:t xml:space="preserve"> – подрядчик, привлекающий к</w:t>
      </w:r>
      <w:r>
        <w:t xml:space="preserve"> </w:t>
      </w:r>
      <w:r>
        <w:t xml:space="preserve">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w:t>
      </w:r>
      <w:r>
        <w:t xml:space="preserve">также </w:t>
      </w:r>
      <w:r>
        <w:t xml:space="preserve">генеральный исполнитель и соисполнители, генеральный поставщик и субпоставщики, в зависимости от предмета закупки.</w:t>
      </w:r>
      <w:r/>
    </w:p>
    <w:p>
      <w:pPr>
        <w:pStyle w:val="1073"/>
        <w:ind w:firstLine="567"/>
      </w:pPr>
      <w:r>
        <w:rPr>
          <w:b/>
          <w:bCs/>
        </w:rPr>
        <w:t xml:space="preserve">Документация о закупке</w:t>
      </w:r>
      <w:r>
        <w:t xml:space="preserve"> – </w:t>
      </w:r>
      <w:r>
        <w:t xml:space="preserve">комплект документов, содержащий всю необходимую согласно законодательству информацию о закупке и условиях ее проведения.</w:t>
      </w:r>
      <w:r/>
    </w:p>
    <w:p>
      <w:pPr>
        <w:pStyle w:val="1073"/>
        <w:ind w:firstLine="567"/>
      </w:pPr>
      <w:r>
        <w:rPr>
          <w:b/>
          <w:bCs/>
        </w:rPr>
        <w:t xml:space="preserve">Единая информационная система в сфере закупок</w:t>
      </w:r>
      <w:r>
        <w:t xml:space="preserve"> – </w:t>
      </w:r>
      <w:r>
        <w:t xml:space="preserve">совокупность информации, содержащейся в баз</w:t>
      </w:r>
      <w:r>
        <w:t xml:space="preserve">ах</w:t>
      </w:r>
      <w:r>
        <w:t xml:space="preserve"> данных, информационных технологий и технических средств, обеспечивающих формирование, обработку, хранение такой информации, а также ее предоставление </w:t>
      </w:r>
      <w:r>
        <w:t xml:space="preserve">в установленном</w:t>
      </w:r>
      <w:r>
        <w:t xml:space="preserve"> законодательством</w:t>
      </w:r>
      <w:r>
        <w:t xml:space="preserve"> порядке </w:t>
      </w:r>
      <w:r>
        <w:t xml:space="preserve">с использованием сети Интернет</w:t>
      </w:r>
      <w:r>
        <w:t xml:space="preserve"> посредствам Официального сайта</w:t>
      </w:r>
      <w:r>
        <w:t xml:space="preserve"> </w:t>
      </w:r>
      <w:r>
        <w:t xml:space="preserve">Единой информационной системы в сфере закупок</w:t>
      </w:r>
      <w:r>
        <w:t xml:space="preserve">.</w:t>
      </w:r>
      <w:r/>
    </w:p>
    <w:p>
      <w:pPr>
        <w:pStyle w:val="1073"/>
        <w:ind w:firstLine="567"/>
      </w:pPr>
      <w:r>
        <w:rPr>
          <w:b/>
          <w:bCs/>
        </w:rPr>
        <w:t xml:space="preserve">Единый реестр субъектов малого и среднего предпринимательства</w:t>
      </w:r>
      <w:r>
        <w:t xml:space="preserve"> – </w:t>
      </w:r>
      <w:r>
        <w:t xml:space="preserve">реестр, являющийся официальным источником сведений о юридических лицах и об</w:t>
      </w:r>
      <w:r>
        <w:t xml:space="preserve"> </w:t>
      </w:r>
      <w:r>
        <w:t xml:space="preserve">индивидуальных предпринимателях</w:t>
      </w:r>
      <w:r>
        <w:t xml:space="preserve">,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r/>
    </w:p>
    <w:p>
      <w:pPr>
        <w:pStyle w:val="1073"/>
        <w:ind w:firstLine="567"/>
      </w:pPr>
      <w:r>
        <w:rPr>
          <w:b/>
          <w:bCs/>
        </w:rPr>
        <w:t xml:space="preserve">Заказчик</w:t>
      </w:r>
      <w:r>
        <w:t xml:space="preserve"> – юридическое лицо, в интересах и за счет средств, которого осуществляется закупка.</w:t>
      </w:r>
      <w:r/>
    </w:p>
    <w:p>
      <w:pPr>
        <w:pStyle w:val="1073"/>
        <w:ind w:firstLine="567"/>
      </w:pPr>
      <w:r>
        <w:rPr>
          <w:b/>
          <w:bCs/>
        </w:rPr>
        <w:t xml:space="preserve">Закупка</w:t>
      </w:r>
      <w:r>
        <w:t xml:space="preserve"> – последовательность действий, осуществляемая в соответствии с</w:t>
      </w:r>
      <w:r>
        <w:t xml:space="preserve"> </w:t>
      </w:r>
      <w:r>
        <w:t xml:space="preserve">требованиями законодательства, Положением о закупке, иными локальными нормативными документами (актами) Заказчика, а для конкурентной закупки (и</w:t>
      </w:r>
      <w:r>
        <w:t xml:space="preserve"> </w:t>
      </w:r>
      <w:r>
        <w:t xml:space="preserve">неконкурентной, проводимой способом состязательный отбор) дополнительно – правилами, установленными Извещением и Документацией о закупке, в результате которой производится выбор поставщика с целью заключения договора на приобретение продукции.</w:t>
      </w:r>
      <w:r/>
    </w:p>
    <w:p>
      <w:pPr>
        <w:pStyle w:val="1073"/>
        <w:ind w:firstLine="567"/>
      </w:pPr>
      <w:r>
        <w:rPr>
          <w:b/>
          <w:bCs/>
        </w:rPr>
        <w:t xml:space="preserve">Закупочная комиссия</w:t>
      </w:r>
      <w:r>
        <w:t xml:space="preserve"> – </w:t>
      </w:r>
      <w:r>
        <w:t xml:space="preserve">коллегиальный орган, принимающий решения о ходе проведения соответствующей закупки (в том числе по выбору ее победителя)</w:t>
      </w:r>
      <w:r>
        <w:t xml:space="preserve">.</w:t>
      </w:r>
      <w:r/>
    </w:p>
    <w:p>
      <w:pPr>
        <w:pStyle w:val="1073"/>
        <w:ind w:firstLine="567"/>
      </w:pPr>
      <w:r>
        <w:rPr>
          <w:b/>
          <w:bCs/>
        </w:rPr>
        <w:t xml:space="preserve">Заявка (заявка на участие в закупке)</w:t>
      </w:r>
      <w:r>
        <w:t xml:space="preserve"> – </w:t>
      </w:r>
      <w:r>
        <w:t xml:space="preserve">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w:t>
      </w:r>
      <w:r>
        <w:t xml:space="preserve"> </w:t>
      </w:r>
      <w:r>
        <w:t xml:space="preserve">конкурентных закупок – в Извещении и</w:t>
      </w:r>
      <w:r>
        <w:t xml:space="preserve"> </w:t>
      </w:r>
      <w:r>
        <w:t xml:space="preserve">(или) Документацией о закупке.</w:t>
      </w:r>
      <w:r/>
    </w:p>
    <w:p>
      <w:pPr>
        <w:pStyle w:val="1073"/>
        <w:ind w:firstLine="567"/>
      </w:pPr>
      <w:r>
        <w:rPr>
          <w:b/>
          <w:bCs/>
        </w:rPr>
        <w:t xml:space="preserve">Заявка на аккредитацию</w:t>
      </w:r>
      <w:r>
        <w:t xml:space="preserve"> –</w:t>
      </w:r>
      <w:r>
        <w:t xml:space="preserve"> </w:t>
      </w:r>
      <w:r>
        <w:t xml:space="preserve">сведения, которые Заявитель предоставляет в</w:t>
      </w:r>
      <w:r>
        <w:t xml:space="preserve"> </w:t>
      </w:r>
      <w:r>
        <w:t xml:space="preserve">установленном Положением</w:t>
      </w:r>
      <w:r>
        <w:t xml:space="preserve"> об</w:t>
      </w:r>
      <w:r>
        <w:t xml:space="preserve"> </w:t>
      </w:r>
      <w:r>
        <w:t xml:space="preserve">аккредитации</w:t>
      </w:r>
      <w:r>
        <w:t xml:space="preserve"> порядке для прохождения </w:t>
      </w:r>
      <w:r>
        <w:t xml:space="preserve">а</w:t>
      </w:r>
      <w:r>
        <w:t xml:space="preserve">ккредитации.</w:t>
      </w:r>
      <w:r/>
    </w:p>
    <w:p>
      <w:pPr>
        <w:pStyle w:val="1073"/>
        <w:ind w:firstLine="567"/>
        <w:rPr>
          <w:szCs w:val="26"/>
        </w:rPr>
      </w:pPr>
      <w:r>
        <w:rPr>
          <w:b/>
          <w:bCs/>
        </w:rPr>
        <w:t xml:space="preserve">Извещение о закупке</w:t>
      </w:r>
      <w:r>
        <w:rPr>
          <w:b/>
          <w:bCs/>
        </w:rPr>
        <w:t xml:space="preserve"> (Извещение)</w:t>
      </w:r>
      <w:r>
        <w:t xml:space="preserve"> –</w:t>
      </w:r>
      <w:r>
        <w:t xml:space="preserve"> </w:t>
      </w:r>
      <w:r>
        <w:t xml:space="preserve">документ, предназначенный для</w:t>
      </w:r>
      <w:r>
        <w:t xml:space="preserve"> </w:t>
      </w:r>
      <w:r>
        <w:t xml:space="preserve">потенциальных Участников, публикация (размещение) которого означает официальное объявление о</w:t>
      </w:r>
      <w:r>
        <w:t xml:space="preserve"> </w:t>
      </w:r>
      <w:r>
        <w:t xml:space="preserve">начале закупки</w:t>
      </w:r>
      <w:r>
        <w:t xml:space="preserve"> (</w:t>
      </w:r>
      <w:r>
        <w:t xml:space="preserve">информаци</w:t>
      </w:r>
      <w:r>
        <w:t xml:space="preserve">я</w:t>
      </w:r>
      <w:r>
        <w:t xml:space="preserve"> в</w:t>
      </w:r>
      <w:r>
        <w:t xml:space="preserve"> </w:t>
      </w:r>
      <w:r>
        <w:t xml:space="preserve">объеме, определенном частью</w:t>
      </w:r>
      <w:r>
        <w:t xml:space="preserve"> </w:t>
      </w:r>
      <w:r>
        <w:t xml:space="preserve">9 статьи</w:t>
      </w:r>
      <w:r>
        <w:t xml:space="preserve"> </w:t>
      </w:r>
      <w:r>
        <w:t xml:space="preserve">4 Закона</w:t>
      </w:r>
      <w:r>
        <w:t xml:space="preserve"> </w:t>
      </w:r>
      <w:r>
        <w:t xml:space="preserve">223-ФЗ и Положением о закупке</w:t>
      </w:r>
      <w:r>
        <w:t xml:space="preserve">); под данным документом и соответственно его размещением также подразумевается заполнение и создание на</w:t>
      </w:r>
      <w:r>
        <w:t xml:space="preserve"> </w:t>
      </w:r>
      <w:r>
        <w:t xml:space="preserve">Официальном сайте (ЕИС) и</w:t>
      </w:r>
      <w:r>
        <w:t xml:space="preserve"> </w:t>
      </w:r>
      <w:r>
        <w:t xml:space="preserve">(или) ЭП соответствующей страницы на указанных ресурсах с информацией об объявленной закупке.</w:t>
      </w:r>
      <w:r>
        <w:rPr>
          <w:szCs w:val="26"/>
        </w:rPr>
      </w:r>
      <w:r>
        <w:rPr>
          <w:szCs w:val="26"/>
        </w:rPr>
      </w:r>
    </w:p>
    <w:p>
      <w:pPr>
        <w:pStyle w:val="1073"/>
        <w:ind w:firstLine="567"/>
      </w:pPr>
      <w:r>
        <w:rPr>
          <w:b/>
          <w:bCs/>
        </w:rPr>
        <w:t xml:space="preserve">Интеллектуальные системы управления электросетевым хозяйством</w:t>
      </w:r>
      <w:r>
        <w:t xml:space="preserve"> – системы удален</w:t>
      </w:r>
      <w:r>
        <w:t xml:space="preserve">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r/>
    </w:p>
    <w:p>
      <w:pPr>
        <w:pStyle w:val="1073"/>
        <w:ind w:firstLine="567"/>
      </w:pPr>
      <w:r>
        <w:rPr>
          <w:b/>
          <w:bCs/>
        </w:rPr>
        <w:t xml:space="preserve">Лот</w:t>
      </w:r>
      <w:r>
        <w:t xml:space="preserve"> – </w:t>
      </w:r>
      <w:r>
        <w:t xml:space="preserve">продукция, на которую в рамках закупки допускаются подача отдельного предложения и заключение отдельного договора</w:t>
      </w:r>
      <w:r>
        <w:t xml:space="preserve">.</w:t>
      </w:r>
      <w:r/>
    </w:p>
    <w:p>
      <w:pPr>
        <w:pStyle w:val="1073"/>
        <w:ind w:firstLine="567"/>
      </w:pPr>
      <w:r>
        <w:rPr>
          <w:b/>
          <w:bCs/>
        </w:rPr>
        <w:t xml:space="preserve">Мониторинг аккредитованных поставщиков</w:t>
      </w:r>
      <w:r>
        <w:t xml:space="preserve"> – процедура выборочной повторной проверки любого ранее аккредитованного Поставщика на предмет соответствия его установленным критериям </w:t>
      </w:r>
      <w:r>
        <w:t xml:space="preserve">а</w:t>
      </w:r>
      <w:r>
        <w:t xml:space="preserve">ккредитации (или наличия оснований, по которым прохождение </w:t>
      </w:r>
      <w:r>
        <w:t xml:space="preserve">а</w:t>
      </w:r>
      <w:r>
        <w:t xml:space="preserve">ккредитации не требуется), без продления срока действия его аккредитации в случае положительного результата такой проверки; при этом от</w:t>
      </w:r>
      <w:r>
        <w:t xml:space="preserve"> </w:t>
      </w:r>
      <w:r>
        <w:t xml:space="preserve">Поставщика (Участника) не требуется повторное заполнение Заявки на аккредитацию.</w:t>
      </w:r>
      <w:r/>
    </w:p>
    <w:p>
      <w:pPr>
        <w:pStyle w:val="1073"/>
        <w:ind w:firstLine="567"/>
      </w:pPr>
      <w:r>
        <w:rPr>
          <w:b/>
          <w:bCs/>
        </w:rPr>
        <w:t xml:space="preserve">Начальная (максимальная) цена договора</w:t>
      </w:r>
      <w:r>
        <w:t xml:space="preserve"> – </w:t>
      </w:r>
      <w:r>
        <w:t xml:space="preserve">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r/>
    </w:p>
    <w:p>
      <w:pPr>
        <w:pStyle w:val="1073"/>
        <w:ind w:firstLine="567"/>
      </w:pPr>
      <w:r>
        <w:rPr>
          <w:b/>
          <w:bCs/>
        </w:rPr>
        <w:t xml:space="preserve">Оператор </w:t>
      </w:r>
      <w:r>
        <w:rPr>
          <w:b/>
          <w:bCs/>
        </w:rPr>
        <w:t xml:space="preserve">электронной площадки</w:t>
      </w:r>
      <w:r>
        <w:t xml:space="preserve"> – </w:t>
      </w:r>
      <w:r>
        <w:t xml:space="preserve">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r/>
    </w:p>
    <w:p>
      <w:pPr>
        <w:pStyle w:val="1073"/>
        <w:ind w:firstLine="567"/>
      </w:pPr>
      <w:r>
        <w:rPr>
          <w:b/>
          <w:bCs/>
        </w:rPr>
        <w:t xml:space="preserve">Организатор</w:t>
      </w:r>
      <w:r>
        <w:t xml:space="preserve"> – </w:t>
      </w:r>
      <w:r>
        <w:t xml:space="preserve">Заказчик или действующее по договору с ним юридическое лицо, выступающее Сторонним организатором закупки</w:t>
      </w:r>
      <w:r>
        <w:t xml:space="preserve">.</w:t>
      </w:r>
      <w:r/>
    </w:p>
    <w:p>
      <w:pPr>
        <w:pStyle w:val="1073"/>
        <w:ind w:firstLine="567"/>
      </w:pPr>
      <w:r>
        <w:rPr>
          <w:b/>
          <w:bCs/>
        </w:rPr>
        <w:t xml:space="preserve">Официальное размещение</w:t>
      </w:r>
      <w:r>
        <w:t xml:space="preserve"> –</w:t>
      </w:r>
      <w:r>
        <w:t xml:space="preserve"> </w:t>
      </w:r>
      <w:r>
        <w:t xml:space="preserve">размещение информации о закупке в ЕИС, на</w:t>
      </w:r>
      <w:r>
        <w:rPr>
          <w:lang w:val="en-US"/>
        </w:rPr>
        <w:t xml:space="preserve"> </w:t>
      </w:r>
      <w:r>
        <w:t xml:space="preserve">Официальном сайте</w:t>
      </w:r>
      <w:r>
        <w:t xml:space="preserve"> </w:t>
      </w:r>
      <w:r>
        <w:t xml:space="preserve">(с размещением копий на ЭП)</w:t>
      </w:r>
      <w:r>
        <w:t xml:space="preserve">.</w:t>
      </w:r>
      <w:r>
        <w:t xml:space="preserve"> </w:t>
      </w:r>
      <w:r>
        <w:t xml:space="preserve">Е</w:t>
      </w:r>
      <w:r>
        <w:t xml:space="preserve">сли окончание срока размещения приходится на нерабочий день согласно законодательству, сведения размещаются в</w:t>
      </w:r>
      <w:r>
        <w:t xml:space="preserve"> </w:t>
      </w:r>
      <w:r>
        <w:t xml:space="preserve">первый рабочий день, следующий за</w:t>
      </w:r>
      <w:r>
        <w:t xml:space="preserve"> </w:t>
      </w:r>
      <w:r>
        <w:t xml:space="preserve">нерабочими днями</w:t>
      </w:r>
      <w:r>
        <w:t xml:space="preserve">.</w:t>
      </w:r>
      <w:r/>
    </w:p>
    <w:p>
      <w:pPr>
        <w:pStyle w:val="1073"/>
        <w:ind w:firstLine="567"/>
        <w:rPr>
          <w:szCs w:val="26"/>
        </w:rPr>
      </w:pPr>
      <w:r>
        <w:rPr>
          <w:b/>
          <w:bCs/>
          <w:szCs w:val="26"/>
        </w:rPr>
        <w:t xml:space="preserve">Победитель</w:t>
      </w:r>
      <w:r>
        <w:rPr>
          <w:szCs w:val="26"/>
        </w:rPr>
        <w:t xml:space="preserve"> – </w:t>
      </w:r>
      <w:r>
        <w:rPr>
          <w:szCs w:val="26"/>
        </w:rPr>
        <w:t xml:space="preserve">Участник, заявка которого соответствует требованиям Документации о закупке и который предложил наиболее низкую стоимость заявки (цену Договора)</w:t>
      </w:r>
      <w:r>
        <w:rPr>
          <w:szCs w:val="26"/>
        </w:rPr>
        <w:t xml:space="preserve">.</w:t>
      </w:r>
      <w:r>
        <w:rPr>
          <w:szCs w:val="26"/>
        </w:rPr>
        <w:t xml:space="preserve"> </w:t>
      </w:r>
      <w:r>
        <w:rPr>
          <w:szCs w:val="26"/>
        </w:rPr>
        <w:t xml:space="preserve">В</w:t>
      </w:r>
      <w:r>
        <w:rPr>
          <w:szCs w:val="26"/>
          <w:lang w:val="en-US"/>
        </w:rPr>
        <w:t xml:space="preserve"> </w:t>
      </w:r>
      <w:r>
        <w:rPr>
          <w:szCs w:val="26"/>
        </w:rPr>
        <w:t xml:space="preserve">случае признания закупки несостоявшейся </w:t>
      </w:r>
      <w:r>
        <w:rPr>
          <w:szCs w:val="26"/>
        </w:rPr>
        <w:t xml:space="preserve">Единственный </w:t>
      </w:r>
      <w:r>
        <w:rPr>
          <w:szCs w:val="26"/>
        </w:rPr>
        <w:t xml:space="preserve">участник такой закупки, </w:t>
      </w:r>
      <w:r>
        <w:rPr>
          <w:szCs w:val="26"/>
        </w:rPr>
        <w:t xml:space="preserve">с</w:t>
      </w:r>
      <w:r>
        <w:rPr>
          <w:szCs w:val="26"/>
        </w:rPr>
        <w:t xml:space="preserve"> </w:t>
      </w:r>
      <w:r>
        <w:rPr>
          <w:szCs w:val="26"/>
        </w:rPr>
        <w:t xml:space="preserve">которым Заказчик приня</w:t>
      </w:r>
      <w:r>
        <w:rPr>
          <w:szCs w:val="26"/>
        </w:rPr>
        <w:t xml:space="preserve">л</w:t>
      </w:r>
      <w:r>
        <w:rPr>
          <w:szCs w:val="26"/>
        </w:rPr>
        <w:t xml:space="preserve"> решение </w:t>
      </w:r>
      <w:r>
        <w:rPr>
          <w:szCs w:val="26"/>
        </w:rPr>
        <w:t xml:space="preserve">заключить</w:t>
      </w:r>
      <w:r>
        <w:rPr>
          <w:szCs w:val="26"/>
        </w:rPr>
        <w:t xml:space="preserve"> </w:t>
      </w:r>
      <w:r>
        <w:rPr>
          <w:szCs w:val="26"/>
        </w:rPr>
        <w:t xml:space="preserve">д</w:t>
      </w:r>
      <w:r>
        <w:rPr>
          <w:szCs w:val="26"/>
        </w:rPr>
        <w:t xml:space="preserve">оговор по результатам закупки</w:t>
      </w:r>
      <w:r>
        <w:rPr>
          <w:szCs w:val="26"/>
        </w:rPr>
        <w:t xml:space="preserve">, в</w:t>
      </w:r>
      <w:r>
        <w:rPr>
          <w:szCs w:val="26"/>
        </w:rPr>
        <w:t xml:space="preserve"> </w:t>
      </w:r>
      <w:r>
        <w:rPr>
          <w:szCs w:val="26"/>
        </w:rPr>
        <w:t xml:space="preserve">оговоренных Положением о закупке случаях приобретает обязательства Победителя по</w:t>
      </w:r>
      <w:r>
        <w:rPr>
          <w:szCs w:val="26"/>
        </w:rPr>
        <w:t xml:space="preserve"> </w:t>
      </w:r>
      <w:r>
        <w:rPr>
          <w:szCs w:val="26"/>
        </w:rPr>
        <w:t xml:space="preserve">заключению </w:t>
      </w:r>
      <w:r>
        <w:rPr>
          <w:szCs w:val="26"/>
        </w:rPr>
        <w:t xml:space="preserve">д</w:t>
      </w:r>
      <w:r>
        <w:rPr>
          <w:szCs w:val="26"/>
        </w:rPr>
        <w:t xml:space="preserve">оговора</w:t>
      </w:r>
      <w:r>
        <w:rPr>
          <w:szCs w:val="26"/>
        </w:rPr>
        <w:t xml:space="preserve">.</w:t>
      </w:r>
      <w:r>
        <w:rPr>
          <w:szCs w:val="26"/>
        </w:rPr>
      </w:r>
      <w:r>
        <w:rPr>
          <w:szCs w:val="26"/>
        </w:rPr>
      </w:r>
    </w:p>
    <w:p>
      <w:pPr>
        <w:pStyle w:val="1073"/>
        <w:ind w:firstLine="567"/>
      </w:pPr>
      <w:r>
        <w:rPr>
          <w:b/>
          <w:bCs/>
        </w:rPr>
        <w:t xml:space="preserve">Поставщик</w:t>
      </w:r>
      <w: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r/>
    </w:p>
    <w:p>
      <w:pPr>
        <w:pStyle w:val="1073"/>
        <w:ind w:firstLine="567"/>
      </w:pPr>
      <w:r>
        <w:rPr>
          <w:b/>
          <w:bCs/>
        </w:rPr>
        <w:t xml:space="preserve">Предмет закупки</w:t>
      </w:r>
      <w:r>
        <w:rPr>
          <w:b/>
          <w:bCs/>
        </w:rPr>
        <w:t xml:space="preserve"> /</w:t>
      </w:r>
      <w:r>
        <w:rPr>
          <w:b/>
          <w:bCs/>
        </w:rPr>
        <w:t xml:space="preserve"> предмет договора</w:t>
      </w:r>
      <w:r>
        <w:t xml:space="preserve"> – </w:t>
      </w:r>
      <w:r>
        <w:t xml:space="preserve">конкретная продукция, которую предполагается закупить в объеме и на условиях, определенных Заказчиком</w:t>
      </w:r>
      <w:r>
        <w:t xml:space="preserve">.</w:t>
      </w:r>
      <w:r/>
    </w:p>
    <w:p>
      <w:pPr>
        <w:pStyle w:val="1073"/>
        <w:ind w:firstLine="567"/>
      </w:pPr>
      <w:r>
        <w:rPr>
          <w:b/>
          <w:bCs/>
        </w:rPr>
        <w:t xml:space="preserve">Преференция</w:t>
      </w:r>
      <w:r>
        <w:t xml:space="preserve"> – </w:t>
      </w:r>
      <w:r>
        <w:t xml:space="preserve">преимущество, которое Заказчик предоставляет определенным группам поставщиков при проведении закупок</w:t>
      </w:r>
      <w:r>
        <w:t xml:space="preserve"> </w:t>
      </w:r>
      <w:r>
        <w:t xml:space="preserve">в соответствии с Единым Положением о</w:t>
      </w:r>
      <w:r>
        <w:t xml:space="preserve"> </w:t>
      </w:r>
      <w:r>
        <w:t xml:space="preserve">закупке продукции для нужд Группы РусГидро</w:t>
      </w:r>
      <w:r>
        <w:t xml:space="preserve">.</w:t>
      </w:r>
      <w:r/>
    </w:p>
    <w:p>
      <w:pPr>
        <w:pStyle w:val="1073"/>
        <w:ind w:firstLine="567"/>
      </w:pPr>
      <w:r>
        <w:rPr>
          <w:b/>
          <w:bCs/>
        </w:rPr>
        <w:t xml:space="preserve">Применение законодательства о национальном режиме</w:t>
      </w:r>
      <w:r>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w:t>
      </w:r>
      <w:r>
        <w:t xml:space="preserve">равны</w:t>
      </w:r>
      <w:r>
        <w:t xml:space="preserve">х</w:t>
      </w:r>
      <w:r>
        <w:t xml:space="preserve"> услови</w:t>
      </w:r>
      <w:r>
        <w:t xml:space="preserve">й</w:t>
      </w:r>
      <w:r>
        <w:t xml:space="preserve"> </w:t>
      </w:r>
      <w:r>
        <w:t xml:space="preserve">с</w:t>
      </w:r>
      <w:r>
        <w:t xml:space="preserve"> </w:t>
      </w:r>
      <w:r>
        <w:t xml:space="preserve">товаром российского происхождения, работой, услугой, соответственно выполняемой, оказываемой российским гражданином или российским юридическим лицом в</w:t>
      </w:r>
      <w:r>
        <w:t xml:space="preserve"> </w:t>
      </w:r>
      <w:r>
        <w:t xml:space="preserve">соответствии с нормами, установленными законодательством.</w:t>
      </w:r>
      <w:r/>
    </w:p>
    <w:p>
      <w:pPr>
        <w:pStyle w:val="1073"/>
        <w:ind w:firstLine="567"/>
      </w:pPr>
      <w:r>
        <w:rPr>
          <w:b/>
          <w:bCs/>
        </w:rPr>
        <w:t xml:space="preserve">Программное обеспечение</w:t>
      </w:r>
      <w:r>
        <w:t xml:space="preserve"> – программное обеспечение, включенное в единый реестр </w:t>
      </w:r>
      <w:r>
        <w:t xml:space="preserve">Минцифры России</w:t>
      </w:r>
      <w:r>
        <w:t xml:space="preserve"> </w:t>
      </w:r>
      <w:r>
        <w:t xml:space="preserve">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r/>
    </w:p>
    <w:p>
      <w:pPr>
        <w:pStyle w:val="1073"/>
        <w:ind w:firstLine="567"/>
      </w:pPr>
      <w:r>
        <w:rPr>
          <w:b/>
          <w:bCs/>
        </w:rPr>
        <w:t xml:space="preserve">Продукция</w:t>
      </w:r>
      <w:r>
        <w:t xml:space="preserve"> – </w:t>
      </w:r>
      <w:r>
        <w:t xml:space="preserve">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r>
        <w:t xml:space="preserve">.</w:t>
      </w:r>
      <w:r/>
    </w:p>
    <w:p>
      <w:pPr>
        <w:pStyle w:val="1073"/>
        <w:ind w:firstLine="567"/>
      </w:pPr>
      <w:r>
        <w:rPr>
          <w:b/>
          <w:bCs/>
        </w:rPr>
        <w:t xml:space="preserve">Реестр аккредитации</w:t>
      </w:r>
      <w:r>
        <w:t xml:space="preserve"> – перечень </w:t>
      </w:r>
      <w:r>
        <w:t xml:space="preserve">лиц – </w:t>
      </w:r>
      <w:r>
        <w:t xml:space="preserve">Заявителей, подававших Заявки на</w:t>
      </w:r>
      <w:r>
        <w:t xml:space="preserve"> </w:t>
      </w:r>
      <w:r>
        <w:t xml:space="preserve">аккредитацию с</w:t>
      </w:r>
      <w:r>
        <w:t xml:space="preserve"> </w:t>
      </w:r>
      <w:r>
        <w:t xml:space="preserve">указанием </w:t>
      </w:r>
      <w:r>
        <w:t xml:space="preserve">в отношении них </w:t>
      </w:r>
      <w:r>
        <w:t xml:space="preserve">результатов процедуры </w:t>
      </w:r>
      <w:r>
        <w:t xml:space="preserve">а</w:t>
      </w:r>
      <w:r>
        <w:t xml:space="preserve">ккредитации.</w:t>
      </w:r>
      <w:r/>
    </w:p>
    <w:p>
      <w:pPr>
        <w:pStyle w:val="1073"/>
        <w:ind w:firstLine="567"/>
      </w:pPr>
      <w:r>
        <w:rPr>
          <w:b/>
          <w:bCs/>
        </w:rPr>
        <w:t xml:space="preserve">Субъект малого и среднего предпринимательства</w:t>
      </w:r>
      <w:r>
        <w:t xml:space="preserve"> – определяется в соответствии с </w:t>
      </w:r>
      <w:r>
        <w:t xml:space="preserve">Законом</w:t>
      </w:r>
      <w:r>
        <w:t xml:space="preserve"> 209-ФЗ. Все условия и требования данной Документации о закупке, относящиеся к субъектам МСП, распространяются также на</w:t>
      </w:r>
      <w:r>
        <w:t xml:space="preserve"> </w:t>
      </w:r>
      <w:r>
        <w:t xml:space="preserve">физических лиц, не</w:t>
      </w:r>
      <w:r>
        <w:t xml:space="preserve"> </w:t>
      </w:r>
      <w:r>
        <w:t xml:space="preserve">являющихся индивидуальными предпринимателями и применяющих специальный налоговый режим «Налог на профессиональный доход»</w:t>
      </w:r>
      <w:r>
        <w:rPr>
          <w:rStyle w:val="1081"/>
        </w:rPr>
        <w:footnoteReference w:id="2"/>
      </w:r>
      <w:r>
        <w:t xml:space="preserve">, если иное не установлено в</w:t>
      </w:r>
      <w:r>
        <w:t xml:space="preserve"> </w:t>
      </w:r>
      <w:r>
        <w:t xml:space="preserve">Документации о закупке.</w:t>
      </w:r>
      <w:r/>
    </w:p>
    <w:p>
      <w:pPr>
        <w:pStyle w:val="1073"/>
        <w:ind w:firstLine="567"/>
      </w:pPr>
      <w:r>
        <w:rPr>
          <w:b/>
          <w:bCs/>
        </w:rPr>
        <w:t xml:space="preserve">Уполномоченное лицо</w:t>
      </w:r>
      <w: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w:t>
      </w:r>
      <w:r>
        <w:t xml:space="preserve">, </w:t>
      </w:r>
      <w:r>
        <w:rPr>
          <w:rFonts w:eastAsia="Calibri" w:cs="Times New Roman"/>
          <w:shd w:val="clear" w:color="auto" w:fill="ffffff" w:themeFill="background1"/>
        </w:rPr>
        <w:t xml:space="preserve">в том числе выданной в порядке передоверия</w:t>
      </w:r>
      <w:r>
        <w:rPr>
          <w:rFonts w:eastAsia="Calibri" w:cs="Times New Roman"/>
          <w:shd w:val="clear" w:color="auto" w:fill="ffffff" w:themeFill="background1"/>
        </w:rPr>
        <w:t xml:space="preserve">,</w:t>
      </w:r>
      <w:r>
        <w:t xml:space="preserve"> от имени организации, полномочия которых подтверждены соответствующими документами.</w:t>
      </w:r>
      <w:r/>
    </w:p>
    <w:p>
      <w:pPr>
        <w:pStyle w:val="1073"/>
        <w:ind w:firstLine="567"/>
      </w:pPr>
      <w:r>
        <w:rPr>
          <w:b/>
          <w:bCs/>
        </w:rPr>
        <w:t xml:space="preserve">Участник</w:t>
      </w:r>
      <w:r>
        <w:t xml:space="preserve"> – </w:t>
      </w:r>
      <w:r>
        <w:t xml:space="preserve">любое юридическое лицо, независимо от организационно-правовой формы, формы собственности, места нахождения и места происхождения капитала</w:t>
      </w:r>
      <w:r>
        <w:t xml:space="preserve"> (</w:t>
      </w:r>
      <w:r>
        <w:t xml:space="preserve">за исключением юридического лица, являющегося иностранным агентом в</w:t>
      </w:r>
      <w:r>
        <w:t xml:space="preserve"> </w:t>
      </w:r>
      <w:r>
        <w:t xml:space="preserve">соответствии с </w:t>
      </w:r>
      <w:r>
        <w:t xml:space="preserve">Законом</w:t>
      </w:r>
      <w:r>
        <w:t xml:space="preserve"> </w:t>
      </w:r>
      <w:r>
        <w:t xml:space="preserve">255-ФЗ</w:t>
      </w:r>
      <w:r>
        <w:t xml:space="preserve">)</w:t>
      </w:r>
      <w:r>
        <w:t xml:space="preserve">, либо любое физическое лицо, в том числе индивидуальный предприниматель </w:t>
      </w:r>
      <w:r>
        <w:t xml:space="preserve">(</w:t>
      </w:r>
      <w:r>
        <w:t xml:space="preserve">за исключением физического лица, являющегося иностранным </w:t>
      </w:r>
      <w:r>
        <w:t xml:space="preserve">агентом в</w:t>
      </w:r>
      <w:r>
        <w:t xml:space="preserve"> </w:t>
      </w:r>
      <w:r>
        <w:t xml:space="preserve">соответствии с</w:t>
      </w:r>
      <w:r>
        <w:t xml:space="preserve"> Законом</w:t>
      </w:r>
      <w:r>
        <w:t xml:space="preserve"> </w:t>
      </w:r>
      <w:r>
        <w:t xml:space="preserve">255-ФЗ</w:t>
      </w:r>
      <w:r>
        <w:t xml:space="preserve">)</w:t>
      </w:r>
      <w:r>
        <w:t xml:space="preserve">, выразившее заинтересованность в участии в закупке (посредством получения Документации о</w:t>
      </w:r>
      <w:r>
        <w:t xml:space="preserve"> </w:t>
      </w:r>
      <w:r>
        <w:t xml:space="preserve">закупке, направления запроса о разъяснении Документации о закупке, внесения обеспечения заявки или подачи заявки на участие в закупке)</w:t>
      </w:r>
      <w:r>
        <w:t xml:space="preserve">.</w:t>
      </w:r>
      <w:r/>
    </w:p>
    <w:p>
      <w:pPr>
        <w:pStyle w:val="1067"/>
      </w:pPr>
      <w:r/>
      <w:bookmarkStart w:id="2" w:name="_Ref125359988"/>
      <w:r/>
      <w:bookmarkStart w:id="3" w:name="_Toc224744284"/>
      <w:r>
        <w:t xml:space="preserve">Основные сведения о закупке</w:t>
      </w:r>
      <w:bookmarkEnd w:id="2"/>
      <w:r/>
      <w:bookmarkEnd w:id="3"/>
      <w:r/>
      <w:r/>
    </w:p>
    <w:p>
      <w:pPr>
        <w:pStyle w:val="1068"/>
      </w:pPr>
      <w:r/>
      <w:bookmarkStart w:id="4" w:name="_Toc224744285"/>
      <w:r>
        <w:t xml:space="preserve">Статус настоящего раздела</w:t>
      </w:r>
      <w:bookmarkEnd w:id="4"/>
      <w:r/>
      <w:r/>
    </w:p>
    <w:p>
      <w:pPr>
        <w:pStyle w:val="1069"/>
      </w:pPr>
      <w:r>
        <w:t xml:space="preserve">В настоящем разделе содержатся основные сведения о предмете, способе и иных ключевых условиях проводимой закупки.</w:t>
      </w:r>
      <w:r/>
    </w:p>
    <w:p>
      <w:pPr>
        <w:pStyle w:val="1069"/>
      </w:pPr>
      <w:r>
        <w:t xml:space="preserve">Здесь и далее все </w:t>
      </w:r>
      <w:r>
        <w:t xml:space="preserve">используемые </w:t>
      </w:r>
      <w:r>
        <w:t xml:space="preserve">ссылки относятся к соответствующим пунктам, разделам и подразделам Документации о закупке, если прямо не </w:t>
      </w:r>
      <w:r>
        <w:t xml:space="preserve">указано</w:t>
      </w:r>
      <w:r>
        <w:t xml:space="preserve"> иное</w:t>
      </w:r>
      <w:r>
        <w:t xml:space="preserve">; ссылки на приложения относятся к</w:t>
      </w:r>
      <w:r>
        <w:t xml:space="preserve"> </w:t>
      </w:r>
      <w:r>
        <w:t xml:space="preserve">соответствующим приложениям к</w:t>
      </w:r>
      <w:r>
        <w:t xml:space="preserve"> </w:t>
      </w:r>
      <w:r>
        <w:t xml:space="preserve">Документации о закупке, если прямо не</w:t>
      </w:r>
      <w:r>
        <w:t xml:space="preserve"> </w:t>
      </w:r>
      <w:r>
        <w:t xml:space="preserve">указано иное.</w:t>
      </w:r>
      <w:r>
        <w:t xml:space="preserve"> Ссылки на статьи, пункты и разделы, используемые в</w:t>
      </w:r>
      <w:r>
        <w:t xml:space="preserve"> </w:t>
      </w:r>
      <w:hyperlink w:tooltip="#Прил01_ТехТребования" w:anchor="Прил01_ТехТребования" w:history="1">
        <w:r>
          <w:rPr>
            <w:rStyle w:val="1097"/>
          </w:rPr>
          <w:t xml:space="preserve">Технически</w:t>
        </w:r>
        <w:r>
          <w:rPr>
            <w:rStyle w:val="1097"/>
          </w:rPr>
          <w:t xml:space="preserve">х</w:t>
        </w:r>
        <w:r>
          <w:rPr>
            <w:rStyle w:val="1097"/>
          </w:rPr>
          <w:t xml:space="preserve"> требовани</w:t>
        </w:r>
        <w:r>
          <w:rPr>
            <w:rStyle w:val="1097"/>
          </w:rPr>
          <w:t xml:space="preserve">ях (Приложение № 1)</w:t>
        </w:r>
      </w:hyperlink>
      <w:r>
        <w:rPr>
          <w:rStyle w:val="1097"/>
        </w:rPr>
        <w:t xml:space="preserve">,</w:t>
      </w:r>
      <w:r>
        <w:t xml:space="preserve"> </w:t>
      </w:r>
      <w:r>
        <w:t xml:space="preserve">в </w:t>
      </w:r>
      <w:hyperlink w:tooltip="#Прил02_ПроектДоговора" w:anchor="Прил02_ПроектДоговора" w:history="1">
        <w:r>
          <w:rPr>
            <w:rStyle w:val="1097"/>
          </w:rPr>
          <w:t xml:space="preserve">П</w:t>
        </w:r>
        <w:r>
          <w:rPr>
            <w:rStyle w:val="1097"/>
          </w:rPr>
          <w:t xml:space="preserve">роект</w:t>
        </w:r>
        <w:r>
          <w:rPr>
            <w:rStyle w:val="1097"/>
          </w:rPr>
          <w:t xml:space="preserve">е</w:t>
        </w:r>
        <w:r>
          <w:rPr>
            <w:rStyle w:val="1097"/>
          </w:rPr>
          <w:t xml:space="preserve"> </w:t>
        </w:r>
        <w:r>
          <w:rPr>
            <w:rStyle w:val="1097"/>
          </w:rPr>
          <w:t xml:space="preserve">д</w:t>
        </w:r>
        <w:r>
          <w:rPr>
            <w:rStyle w:val="1097"/>
          </w:rPr>
          <w:t xml:space="preserve">оговора</w:t>
        </w:r>
        <w:r>
          <w:rPr>
            <w:rStyle w:val="1097"/>
          </w:rPr>
          <w:t xml:space="preserve"> (Приложение № 2)</w:t>
        </w:r>
      </w:hyperlink>
      <w:r>
        <w:t xml:space="preserve"> и иных приложениях к</w:t>
      </w:r>
      <w:r>
        <w:t xml:space="preserve"> </w:t>
      </w:r>
      <w:r>
        <w:t xml:space="preserve">Документации о закупке</w:t>
      </w:r>
      <w:r>
        <w:t xml:space="preserve">,</w:t>
      </w:r>
      <w:r>
        <w:t xml:space="preserve"> относятся соответственно к статьям, пунктам и разделам </w:t>
      </w:r>
      <w:r>
        <w:t xml:space="preserve">этих </w:t>
      </w:r>
      <w:r>
        <w:t xml:space="preserve">приложений</w:t>
      </w:r>
      <w:r>
        <w:t xml:space="preserve"> к Документации о закупке</w:t>
      </w:r>
      <w:r>
        <w:t xml:space="preserve">.</w:t>
      </w:r>
      <w:r>
        <w:t xml:space="preserve"> Все приложения к</w:t>
      </w:r>
      <w:r>
        <w:t xml:space="preserve"> </w:t>
      </w:r>
      <w:r>
        <w:t xml:space="preserve">Документации о закупке являются ее неотъемлемыми частями.</w:t>
      </w:r>
      <w:r/>
    </w:p>
    <w:p>
      <w:pPr>
        <w:pStyle w:val="1069"/>
      </w:pPr>
      <w:r/>
      <w:bookmarkStart w:id="5" w:name="_Ref136768031"/>
      <w:r>
        <w:t xml:space="preserve">Информация о проводимой закупке, указанная в подразделе </w:t>
      </w:r>
      <w:r>
        <w:fldChar w:fldCharType="begin"/>
      </w:r>
      <w:r>
        <w:instrText xml:space="preserve"> REF _Ref125359973 \r \h </w:instrText>
      </w:r>
      <w:r>
        <w:fldChar w:fldCharType="separate"/>
      </w:r>
      <w:r>
        <w:t xml:space="preserve">1.2</w:t>
      </w:r>
      <w:r>
        <w:fldChar w:fldCharType="end"/>
      </w:r>
      <w:r>
        <w:t xml:space="preserve">, в объеме, определенном частью 9 статьи 4 Закона 223-ФЗ, составляет </w:t>
      </w:r>
      <w:r>
        <w:t xml:space="preserve">И</w:t>
      </w:r>
      <w:r>
        <w:t xml:space="preserve">звещение</w:t>
      </w:r>
      <w:r>
        <w:t xml:space="preserve"> о</w:t>
      </w:r>
      <w:r>
        <w:t xml:space="preserve"> </w:t>
      </w:r>
      <w:r>
        <w:t xml:space="preserve">закупке</w:t>
      </w:r>
      <w:r>
        <w:t xml:space="preserve">.</w:t>
      </w:r>
      <w:bookmarkEnd w:id="5"/>
      <w:r/>
      <w:r/>
    </w:p>
    <w:p>
      <w:pPr>
        <w:pStyle w:val="1068"/>
        <w:spacing w:after="120"/>
      </w:pPr>
      <w:r/>
      <w:bookmarkStart w:id="6" w:name="_Ref125359973"/>
      <w:r/>
      <w:bookmarkStart w:id="7" w:name="_Ref127270076"/>
      <w:r/>
      <w:bookmarkStart w:id="8" w:name="_Toc224744286"/>
      <w:r>
        <w:t xml:space="preserve">Информация о проводимой закупке</w:t>
      </w:r>
      <w:bookmarkEnd w:id="6"/>
      <w:r/>
      <w:bookmarkEnd w:id="7"/>
      <w:r/>
      <w:bookmarkEnd w:id="8"/>
      <w:r/>
      <w:r/>
    </w:p>
    <w:tbl>
      <w:tblPr>
        <w:tblStyle w:val="1094"/>
        <w:tblW w:w="0" w:type="auto"/>
        <w:tblLayout w:type="fixed"/>
        <w:tblLook w:val="04A0" w:firstRow="1" w:lastRow="0" w:firstColumn="1" w:lastColumn="0" w:noHBand="0" w:noVBand="1"/>
      </w:tblPr>
      <w:tblGrid>
        <w:gridCol w:w="846"/>
        <w:gridCol w:w="3232"/>
        <w:gridCol w:w="5676"/>
      </w:tblGrid>
      <w:tr>
        <w:tblPrEx/>
        <w:trPr/>
        <w:tc>
          <w:tcPr>
            <w:tcW w:w="846" w:type="dxa"/>
            <w:textDirection w:val="lrTb"/>
            <w:noWrap w:val="false"/>
          </w:tcPr>
          <w:p>
            <w:pPr>
              <w:pStyle w:val="1073"/>
              <w:jc w:val="center"/>
            </w:pPr>
            <w:r>
              <w:t xml:space="preserve">№</w:t>
            </w:r>
            <w:r>
              <w:br/>
              <w:t xml:space="preserve">п/п</w:t>
            </w:r>
            <w:r/>
          </w:p>
        </w:tc>
        <w:tc>
          <w:tcPr>
            <w:tcW w:w="3232" w:type="dxa"/>
            <w:textDirection w:val="lrTb"/>
            <w:noWrap w:val="false"/>
          </w:tcPr>
          <w:p>
            <w:pPr>
              <w:pStyle w:val="1073"/>
              <w:jc w:val="center"/>
            </w:pPr>
            <w:r>
              <w:t xml:space="preserve">Наименование пункта</w:t>
            </w:r>
            <w:r/>
          </w:p>
        </w:tc>
        <w:tc>
          <w:tcPr>
            <w:tcW w:w="5676" w:type="dxa"/>
            <w:textDirection w:val="lrTb"/>
            <w:noWrap w:val="false"/>
          </w:tcPr>
          <w:p>
            <w:pPr>
              <w:pStyle w:val="1073"/>
              <w:jc w:val="center"/>
            </w:pPr>
            <w:r>
              <w:t xml:space="preserve">Содержание пункта</w:t>
            </w:r>
            <w:r/>
          </w:p>
        </w:tc>
      </w:tr>
      <w:tr>
        <w:tblPrEx/>
        <w:trPr/>
        <w:tc>
          <w:tcPr>
            <w:tcW w:w="846" w:type="dxa"/>
            <w:textDirection w:val="lrTb"/>
            <w:noWrap w:val="false"/>
          </w:tcPr>
          <w:p>
            <w:pPr>
              <w:pStyle w:val="1069"/>
            </w:pPr>
            <w:r/>
            <w:bookmarkStart w:id="9" w:name="_Ref125360980"/>
            <w:r/>
            <w:bookmarkEnd w:id="9"/>
            <w:r/>
            <w:r/>
          </w:p>
        </w:tc>
        <w:tc>
          <w:tcPr>
            <w:tcW w:w="3232" w:type="dxa"/>
            <w:textDirection w:val="lrTb"/>
            <w:noWrap w:val="false"/>
          </w:tcPr>
          <w:p>
            <w:pPr>
              <w:pStyle w:val="1073"/>
              <w:jc w:val="left"/>
            </w:pPr>
            <w:r>
              <w:t xml:space="preserve">Способ закупки</w:t>
            </w:r>
            <w:r>
              <w:t xml:space="preserve">:</w:t>
            </w:r>
            <w:r/>
          </w:p>
        </w:tc>
        <w:tc>
          <w:tcPr>
            <w:tcW w:w="5676" w:type="dxa"/>
            <w:textDirection w:val="lrTb"/>
            <w:noWrap w:val="false"/>
          </w:tcPr>
          <w:p>
            <w:pPr>
              <w:pStyle w:val="1073"/>
            </w:pPr>
            <w:r>
              <w:t xml:space="preserve">Запрос предложений в электронной форме, участниками которого могут быть только субъекты МСП.</w:t>
            </w:r>
            <w:r/>
          </w:p>
        </w:tc>
      </w:tr>
      <w:tr>
        <w:tblPrEx/>
        <w:trPr/>
        <w:tc>
          <w:tcPr>
            <w:tcW w:w="846" w:type="dxa"/>
            <w:textDirection w:val="lrTb"/>
            <w:noWrap w:val="false"/>
          </w:tcPr>
          <w:p>
            <w:pPr>
              <w:pStyle w:val="1069"/>
            </w:pPr>
            <w:r/>
            <w:bookmarkStart w:id="10" w:name="_Ref125360996"/>
            <w:r/>
            <w:bookmarkEnd w:id="10"/>
            <w:r/>
            <w:r/>
          </w:p>
        </w:tc>
        <w:tc>
          <w:tcPr>
            <w:tcW w:w="3232" w:type="dxa"/>
            <w:textDirection w:val="lrTb"/>
            <w:noWrap w:val="false"/>
          </w:tcPr>
          <w:p>
            <w:pPr>
              <w:pStyle w:val="1073"/>
              <w:jc w:val="left"/>
            </w:pPr>
            <w:r>
              <w:t xml:space="preserve">Предмет Договора</w:t>
            </w:r>
            <w:r>
              <w:br/>
            </w:r>
            <w:r>
              <w:t xml:space="preserve">(</w:t>
            </w:r>
            <w:r>
              <w:t xml:space="preserve">в том числе </w:t>
            </w:r>
            <w:r>
              <w:t xml:space="preserve">номер лота</w:t>
            </w:r>
            <w:r>
              <w:t xml:space="preserve">)</w:t>
            </w:r>
            <w:r>
              <w:t xml:space="preserve">:</w:t>
            </w:r>
            <w:r/>
          </w:p>
        </w:tc>
        <w:tc>
          <w:tcPr>
            <w:tcW w:w="5676" w:type="dxa"/>
            <w:textDirection w:val="lrTb"/>
            <w:noWrap w:val="false"/>
          </w:tcPr>
          <w:p>
            <w:pPr>
              <w:pStyle w:val="1063"/>
              <w:contextualSpacing/>
              <w:ind w:left="-51" w:right="-108" w:firstLine="0"/>
              <w:jc w:val="left"/>
              <w:spacing w:before="11" w:after="11"/>
              <w:widowControl w:val="off"/>
              <w:rPr>
                <w:rFonts w:ascii="Times New Roman" w:hAnsi="Times New Roman" w:cs="Times New Roman"/>
                <w:b/>
                <w:bCs/>
                <w:i w:val="0"/>
                <w:sz w:val="28"/>
                <w:szCs w:val="28"/>
              </w:rPr>
              <w:suppressLineNumbers w:val="0"/>
            </w:pPr>
            <w:r>
              <w:rPr>
                <w:rFonts w:ascii="Times New Roman" w:hAnsi="Times New Roman" w:eastAsia="Times New Roman" w:cs="Times New Roman"/>
                <w:i w:val="0"/>
                <w:iCs w:val="0"/>
                <w:sz w:val="28"/>
                <w:szCs w:val="28"/>
              </w:rPr>
              <w:t xml:space="preserve"> </w:t>
            </w:r>
            <w:r>
              <w:rPr>
                <w:rFonts w:ascii="Times New Roman" w:hAnsi="Times New Roman" w:eastAsia="Times New Roman" w:cs="Times New Roman"/>
                <w:b/>
                <w:bCs/>
                <w:i w:val="0"/>
                <w:iCs w:val="0"/>
                <w:caps w:val="0"/>
                <w:smallCaps w:val="0"/>
                <w:color w:val="000000" w:themeColor="text1"/>
                <w:spacing w:val="0"/>
                <w:sz w:val="26"/>
                <w:szCs w:val="26"/>
              </w:rPr>
              <w:t xml:space="preserve">ОКПД2 26.20.18 Поставка оргтехники (черно-</w:t>
            </w:r>
            <w:r>
              <w:rPr>
                <w:rFonts w:ascii="Times New Roman" w:hAnsi="Times New Roman" w:cs="Times New Roman"/>
                <w:b/>
                <w:bCs/>
                <w:i w:val="0"/>
                <w:sz w:val="28"/>
                <w:szCs w:val="28"/>
              </w:rPr>
            </w:r>
            <w:r>
              <w:rPr>
                <w:rFonts w:ascii="Times New Roman" w:hAnsi="Times New Roman" w:cs="Times New Roman"/>
                <w:b/>
                <w:bCs/>
                <w:i w:val="0"/>
                <w:sz w:val="28"/>
                <w:szCs w:val="28"/>
              </w:rPr>
            </w:r>
          </w:p>
          <w:p>
            <w:pPr>
              <w:pStyle w:val="1063"/>
              <w:contextualSpacing/>
              <w:ind w:left="-51" w:right="-108" w:firstLine="0"/>
              <w:jc w:val="left"/>
              <w:spacing w:before="11" w:after="11"/>
              <w:widowControl w:val="off"/>
              <w:rPr>
                <w:rFonts w:ascii="Times New Roman" w:hAnsi="Times New Roman" w:cs="Times New Roman"/>
                <w:b/>
                <w:bCs/>
                <w:i w:val="0"/>
                <w:sz w:val="28"/>
                <w:szCs w:val="28"/>
              </w:rPr>
              <w:suppressLineNumbers w:val="0"/>
            </w:pPr>
            <w:r>
              <w:rPr>
                <w:rFonts w:ascii="Times New Roman" w:hAnsi="Times New Roman" w:eastAsia="Times New Roman" w:cs="Times New Roman"/>
                <w:b/>
                <w:bCs/>
                <w:i w:val="0"/>
                <w:iCs w:val="0"/>
                <w:caps w:val="0"/>
                <w:smallCaps w:val="0"/>
                <w:color w:val="000000" w:themeColor="text1"/>
                <w:spacing w:val="0"/>
                <w:sz w:val="26"/>
                <w:szCs w:val="26"/>
              </w:rPr>
              <w:tab/>
              <w:t xml:space="preserve">белое МФУ А4), в количестве 26 шт. для нужд </w:t>
            </w:r>
            <w:r>
              <w:rPr>
                <w:rFonts w:ascii="Times New Roman" w:hAnsi="Times New Roman" w:eastAsia="Times New Roman" w:cs="Times New Roman"/>
                <w:b/>
                <w:bCs/>
                <w:i w:val="0"/>
                <w:iCs w:val="0"/>
                <w:caps w:val="0"/>
                <w:smallCaps w:val="0"/>
                <w:color w:val="000000" w:themeColor="text1"/>
                <w:spacing w:val="0"/>
                <w:sz w:val="26"/>
                <w:szCs w:val="26"/>
              </w:rPr>
              <w:t xml:space="preserve">Амурских тепловых сетей, в рамках</w:t>
            </w:r>
            <w:r>
              <w:rPr>
                <w:rFonts w:ascii="Times New Roman" w:hAnsi="Times New Roman" w:cs="Times New Roman"/>
                <w:b/>
                <w:bCs/>
                <w:i w:val="0"/>
                <w:sz w:val="28"/>
                <w:szCs w:val="28"/>
              </w:rPr>
            </w:r>
            <w:r>
              <w:rPr>
                <w:rFonts w:ascii="Times New Roman" w:hAnsi="Times New Roman" w:cs="Times New Roman"/>
                <w:b/>
                <w:bCs/>
                <w:i w:val="0"/>
                <w:sz w:val="28"/>
                <w:szCs w:val="28"/>
              </w:rPr>
            </w:r>
          </w:p>
          <w:p>
            <w:pPr>
              <w:pStyle w:val="1063"/>
              <w:contextualSpacing/>
              <w:ind w:left="-51" w:right="-108" w:firstLine="0"/>
              <w:jc w:val="left"/>
              <w:spacing w:before="11" w:after="11"/>
              <w:widowControl w:val="off"/>
              <w:rPr>
                <w:rFonts w:ascii="Times New Roman" w:hAnsi="Times New Roman" w:cs="Times New Roman"/>
                <w:b/>
                <w:bCs/>
                <w:i w:val="0"/>
                <w:sz w:val="28"/>
                <w:szCs w:val="28"/>
              </w:rPr>
              <w:suppressLineNumbers w:val="0"/>
            </w:pPr>
            <w:r>
              <w:rPr>
                <w:rFonts w:ascii="Times New Roman" w:hAnsi="Times New Roman" w:eastAsia="Times New Roman" w:cs="Times New Roman"/>
                <w:b/>
                <w:bCs/>
                <w:i w:val="0"/>
                <w:iCs w:val="0"/>
                <w:caps w:val="0"/>
                <w:smallCaps w:val="0"/>
                <w:color w:val="000000" w:themeColor="text1"/>
                <w:spacing w:val="0"/>
                <w:sz w:val="26"/>
                <w:szCs w:val="26"/>
              </w:rPr>
              <w:tab/>
              <w:t xml:space="preserve">реализации инвестиционного проекта Q_505-</w:t>
            </w:r>
            <w:r>
              <w:rPr>
                <w:rFonts w:ascii="Times New Roman" w:hAnsi="Times New Roman" w:cs="Times New Roman"/>
                <w:b/>
                <w:bCs/>
                <w:i w:val="0"/>
                <w:sz w:val="28"/>
                <w:szCs w:val="28"/>
              </w:rPr>
            </w:r>
            <w:r>
              <w:rPr>
                <w:rFonts w:ascii="Times New Roman" w:hAnsi="Times New Roman" w:cs="Times New Roman"/>
                <w:b/>
                <w:bCs/>
                <w:i w:val="0"/>
                <w:sz w:val="28"/>
                <w:szCs w:val="28"/>
              </w:rPr>
            </w:r>
          </w:p>
          <w:p>
            <w:pPr>
              <w:pStyle w:val="1063"/>
              <w:contextualSpacing/>
              <w:ind w:left="-51" w:right="-108" w:firstLine="0"/>
              <w:jc w:val="left"/>
              <w:spacing w:before="11" w:after="11"/>
              <w:widowControl w:val="off"/>
              <w:rPr>
                <w:rFonts w:ascii="Times New Roman" w:hAnsi="Times New Roman" w:cs="Times New Roman"/>
                <w:b/>
                <w:bCs/>
                <w:i w:val="0"/>
                <w:iCs w:val="0"/>
                <w:color w:val="000000" w:themeColor="text1"/>
                <w:sz w:val="28"/>
                <w:szCs w:val="28"/>
              </w:rPr>
              <w:suppressLineNumbers w:val="0"/>
            </w:pPr>
            <w:r>
              <w:rPr>
                <w:rFonts w:ascii="Times New Roman" w:hAnsi="Times New Roman" w:eastAsia="Times New Roman" w:cs="Times New Roman"/>
                <w:b/>
                <w:bCs/>
                <w:i w:val="0"/>
                <w:iCs w:val="0"/>
                <w:caps w:val="0"/>
                <w:smallCaps w:val="0"/>
                <w:color w:val="000000" w:themeColor="text1"/>
                <w:spacing w:val="0"/>
                <w:sz w:val="26"/>
                <w:szCs w:val="26"/>
              </w:rPr>
              <w:tab/>
              <w:t xml:space="preserve">АТС-27-12, г. Благовещенск</w:t>
            </w:r>
            <w:r>
              <w:rPr>
                <w:rFonts w:ascii="Times New Roman" w:hAnsi="Times New Roman" w:cs="Times New Roman"/>
                <w:b/>
                <w:bCs/>
                <w:i w:val="0"/>
                <w:iCs w:val="0"/>
                <w:color w:val="000000" w:themeColor="text1"/>
                <w:sz w:val="28"/>
                <w:szCs w:val="28"/>
              </w:rPr>
            </w:r>
            <w:r>
              <w:rPr>
                <w:rFonts w:ascii="Times New Roman" w:hAnsi="Times New Roman" w:cs="Times New Roman"/>
                <w:b/>
                <w:bCs/>
                <w:i w:val="0"/>
                <w:iCs w:val="0"/>
                <w:color w:val="000000" w:themeColor="text1"/>
                <w:sz w:val="28"/>
                <w:szCs w:val="28"/>
              </w:rPr>
            </w:r>
          </w:p>
          <w:p>
            <w:pPr>
              <w:contextualSpacing/>
              <w:ind w:left="-51" w:right="-108" w:firstLine="0"/>
              <w:jc w:val="left"/>
              <w:spacing w:before="11" w:after="11"/>
              <w:widowControl w:val="off"/>
              <w:rPr>
                <w:rFonts w:ascii="Times New Roman" w:hAnsi="Times New Roman" w:eastAsia="Times New Roman" w:cs="Times New Roman"/>
                <w:b w:val="0"/>
                <w:bCs w:val="0"/>
                <w:i w:val="0"/>
                <w:caps w:val="0"/>
                <w:smallCaps w:val="0"/>
                <w:color w:val="000000" w:themeColor="text1"/>
                <w:spacing w:val="0"/>
                <w:sz w:val="24"/>
                <w:szCs w:val="24"/>
                <w14:ligatures w14:val="none"/>
              </w:rPr>
              <w:suppressLineNumbers w:val="0"/>
            </w:pPr>
            <w:r>
              <w:rPr>
                <w:rFonts w:ascii="Times New Roman" w:hAnsi="Times New Roman" w:eastAsia="Times New Roman" w:cs="Times New Roman"/>
                <w:i w:val="0"/>
                <w:iCs w:val="0"/>
                <w:sz w:val="26"/>
                <w:szCs w:val="26"/>
              </w:rPr>
              <w:t xml:space="preserve">(</w:t>
            </w:r>
            <w:r>
              <w:rPr>
                <w:rFonts w:ascii="Times New Roman" w:hAnsi="Times New Roman" w:eastAsia="Times New Roman" w:cs="Times New Roman"/>
                <w:i w:val="0"/>
                <w:iCs w:val="0"/>
                <w:sz w:val="26"/>
                <w:szCs w:val="26"/>
              </w:rPr>
              <w:t xml:space="preserve">Л</w:t>
            </w:r>
            <w:r>
              <w:rPr>
                <w:rFonts w:ascii="Times New Roman" w:hAnsi="Times New Roman" w:eastAsia="Times New Roman" w:cs="Times New Roman"/>
                <w:i w:val="0"/>
                <w:iCs w:val="0"/>
                <w:sz w:val="26"/>
                <w:szCs w:val="26"/>
              </w:rPr>
              <w:t xml:space="preserve">от № </w:t>
            </w:r>
            <w:r>
              <w:rPr>
                <w:rFonts w:ascii="Times New Roman" w:hAnsi="Times New Roman" w:eastAsia="Times New Roman" w:cs="Times New Roman"/>
                <w:b w:val="0"/>
                <w:bCs w:val="0"/>
                <w:i w:val="0"/>
                <w:iCs w:val="0"/>
                <w:caps w:val="0"/>
                <w:smallCaps w:val="0"/>
                <w:color w:val="000000" w:themeColor="text1"/>
                <w:spacing w:val="0"/>
                <w:sz w:val="26"/>
                <w:szCs w:val="26"/>
              </w:rPr>
              <w:t xml:space="preserve">23207016-ТПИР ОНМ ИТ-2026-ДГК</w:t>
            </w:r>
            <w:r>
              <w:rPr>
                <w:rFonts w:ascii="Times New Roman" w:hAnsi="Times New Roman" w:eastAsia="Times New Roman" w:cs="Times New Roman"/>
                <w:i w:val="0"/>
                <w:iCs w:val="0"/>
                <w:sz w:val="26"/>
                <w:szCs w:val="26"/>
              </w:rPr>
              <w:t xml:space="preserve">)</w:t>
            </w:r>
            <w:r>
              <w:rPr>
                <w:rFonts w:ascii="Times New Roman" w:hAnsi="Times New Roman" w:eastAsia="Times New Roman" w:cs="Times New Roman"/>
                <w:b w:val="0"/>
                <w:bCs w:val="0"/>
                <w:i w:val="0"/>
                <w:caps w:val="0"/>
                <w:smallCaps w:val="0"/>
                <w:color w:val="000000" w:themeColor="text1"/>
                <w:spacing w:val="0"/>
                <w:sz w:val="24"/>
                <w:szCs w:val="24"/>
                <w14:ligatures w14:val="none"/>
              </w:rPr>
            </w:r>
            <w:r>
              <w:rPr>
                <w:rFonts w:ascii="Times New Roman" w:hAnsi="Times New Roman" w:eastAsia="Times New Roman" w:cs="Times New Roman"/>
                <w:b w:val="0"/>
                <w:bCs w:val="0"/>
                <w:i w:val="0"/>
                <w:caps w:val="0"/>
                <w:smallCaps w:val="0"/>
                <w:color w:val="000000" w:themeColor="text1"/>
                <w:spacing w:val="0"/>
                <w:sz w:val="24"/>
                <w:szCs w:val="24"/>
                <w14:ligatures w14:val="none"/>
              </w:rPr>
            </w:r>
          </w:p>
        </w:tc>
      </w:tr>
      <w:tr>
        <w:tblPrEx/>
        <w:trPr/>
        <w:tc>
          <w:tcPr>
            <w:tcW w:w="846" w:type="dxa"/>
            <w:textDirection w:val="lrTb"/>
            <w:noWrap w:val="false"/>
          </w:tcPr>
          <w:p>
            <w:pPr>
              <w:pStyle w:val="1069"/>
            </w:pPr>
            <w:r/>
            <w:bookmarkStart w:id="11" w:name="_Ref135729276"/>
            <w:r/>
            <w:bookmarkEnd w:id="11"/>
            <w:r/>
            <w:r/>
          </w:p>
        </w:tc>
        <w:tc>
          <w:tcPr>
            <w:tcW w:w="3232" w:type="dxa"/>
            <w:textDirection w:val="lrTb"/>
            <w:noWrap w:val="false"/>
          </w:tcPr>
          <w:p>
            <w:pPr>
              <w:pStyle w:val="1073"/>
              <w:jc w:val="left"/>
            </w:pPr>
            <w:r>
              <w:t xml:space="preserve">О</w:t>
            </w:r>
            <w:r>
              <w:t xml:space="preserve">писание</w:t>
            </w:r>
            <w:r>
              <w:br/>
            </w:r>
            <w:r>
              <w:t xml:space="preserve">предмета закупки</w:t>
            </w:r>
            <w:r>
              <w:t xml:space="preserve">:</w:t>
            </w:r>
            <w:r/>
          </w:p>
        </w:tc>
        <w:tc>
          <w:tcPr>
            <w:tcW w:w="5676" w:type="dxa"/>
            <w:textDirection w:val="lrTb"/>
            <w:noWrap w:val="false"/>
          </w:tcPr>
          <w:p>
            <w:pPr>
              <w:pStyle w:val="1073"/>
            </w:pPr>
            <w:r>
              <w:t xml:space="preserve">Подробное </w:t>
            </w:r>
            <w:r>
              <w:t xml:space="preserve">описани</w:t>
            </w:r>
            <w:r>
              <w:t xml:space="preserve">е</w:t>
            </w:r>
            <w:r>
              <w:t xml:space="preserve"> предмета закупки</w:t>
            </w:r>
            <w:r>
              <w:t xml:space="preserve">, в том числе</w:t>
            </w:r>
            <w:r>
              <w:t xml:space="preserve"> функциональные характеристики (потребительские свойства), технические и качественные характеристики, а также эксплуатационные характеристики (при</w:t>
            </w:r>
            <w:r>
              <w:t xml:space="preserve"> </w:t>
            </w:r>
            <w:r>
              <w:t xml:space="preserve">необходимости) предмета закупки</w:t>
            </w:r>
            <w:r>
              <w:t xml:space="preserve">, и</w:t>
            </w:r>
            <w:r>
              <w:t xml:space="preserve">нформация о к</w:t>
            </w:r>
            <w:r>
              <w:t xml:space="preserve">оличеств</w:t>
            </w:r>
            <w:r>
              <w:t xml:space="preserve">е</w:t>
            </w:r>
            <w:r>
              <w:t xml:space="preserve"> поставляемого товара, объема выполняем</w:t>
            </w:r>
            <w:r>
              <w:t xml:space="preserve">ых</w:t>
            </w:r>
            <w:r>
              <w:t xml:space="preserve"> работ, оказываем</w:t>
            </w:r>
            <w:r>
              <w:t xml:space="preserve">ых</w:t>
            </w:r>
            <w:r>
              <w:t xml:space="preserve"> услуг</w:t>
            </w:r>
            <w:r>
              <w:t xml:space="preserve">, а также </w:t>
            </w:r>
            <w:r>
              <w:t xml:space="preserve">место поставки товара, выполнения работы, оказания услуги</w:t>
            </w:r>
            <w:r>
              <w:t xml:space="preserve">, содержится в </w:t>
            </w:r>
            <w:hyperlink w:tooltip="#Прил01_ТехТребования" w:anchor="Прил01_ТехТребования" w:history="1">
              <w:r>
                <w:rPr>
                  <w:rStyle w:val="1097"/>
                </w:rPr>
                <w:t xml:space="preserve">Технических требованиях (Приложении № 1)</w:t>
              </w:r>
            </w:hyperlink>
            <w:r>
              <w:t xml:space="preserve">, </w:t>
            </w:r>
            <w:r>
              <w:t xml:space="preserve">в</w:t>
            </w:r>
            <w:r>
              <w:t xml:space="preserve"> </w:t>
            </w:r>
            <w:r>
              <w:t xml:space="preserve">части требований, обусловленных законодательством о национальном режиме дополнительно в Структуре НМЦ (в составе </w:t>
            </w:r>
            <w:r>
              <w:t xml:space="preserve">Коммерческого предложения (форма</w:t>
            </w:r>
            <w:r>
              <w:t xml:space="preserve"> </w:t>
            </w:r>
            <w:r>
              <w:t xml:space="preserve">3) (</w:t>
            </w:r>
            <w:hyperlink w:tooltip="#Прил04_ФормыЗаявки" w:anchor="Прил04_ФормыЗаявки" w:history="1">
              <w:r>
                <w:rPr>
                  <w:rStyle w:val="1097"/>
                </w:rPr>
                <w:t xml:space="preserve">Приложение № 4</w:t>
              </w:r>
            </w:hyperlink>
            <w:r>
              <w:t xml:space="preserve">))</w:t>
            </w:r>
            <w:r>
              <w:t xml:space="preserve">.</w:t>
            </w:r>
            <w:r/>
          </w:p>
        </w:tc>
      </w:tr>
      <w:tr>
        <w:tblPrEx/>
        <w:trPr/>
        <w:tc>
          <w:tcPr>
            <w:tcW w:w="846" w:type="dxa"/>
            <w:textDirection w:val="lrTb"/>
            <w:noWrap w:val="false"/>
          </w:tcPr>
          <w:p>
            <w:pPr>
              <w:pStyle w:val="1069"/>
            </w:pPr>
            <w:r/>
            <w:bookmarkStart w:id="12" w:name="_Ref125367124"/>
            <w:r/>
            <w:bookmarkEnd w:id="12"/>
            <w:r/>
            <w:r/>
          </w:p>
        </w:tc>
        <w:tc>
          <w:tcPr>
            <w:tcW w:w="3232" w:type="dxa"/>
            <w:textDirection w:val="lrTb"/>
            <w:noWrap w:val="false"/>
          </w:tcPr>
          <w:p>
            <w:pPr>
              <w:pStyle w:val="1073"/>
              <w:jc w:val="left"/>
            </w:pPr>
            <w:r>
              <w:t xml:space="preserve">Многолотовая закупка</w:t>
            </w:r>
            <w:r>
              <w:t xml:space="preserve">:</w:t>
            </w:r>
            <w:r/>
          </w:p>
        </w:tc>
        <w:tc>
          <w:tcPr>
            <w:tcW w:w="5676" w:type="dxa"/>
            <w:textDirection w:val="lrTb"/>
            <w:noWrap w:val="false"/>
          </w:tcPr>
          <w:p>
            <w:pPr>
              <w:pStyle w:val="1073"/>
            </w:pPr>
            <w:r>
              <w:t xml:space="preserve">Нет.</w:t>
            </w:r>
            <w:r/>
          </w:p>
        </w:tc>
      </w:tr>
      <w:tr>
        <w:tblPrEx/>
        <w:trPr/>
        <w:tc>
          <w:tcPr>
            <w:tcW w:w="846" w:type="dxa"/>
            <w:textDirection w:val="lrTb"/>
            <w:noWrap w:val="false"/>
          </w:tcPr>
          <w:p>
            <w:pPr>
              <w:pStyle w:val="1069"/>
            </w:pPr>
            <w:r/>
            <w:bookmarkStart w:id="13" w:name="_Ref125360764"/>
            <w:r/>
            <w:bookmarkEnd w:id="13"/>
            <w:r/>
            <w:r/>
          </w:p>
        </w:tc>
        <w:tc>
          <w:tcPr>
            <w:tcW w:w="3232" w:type="dxa"/>
            <w:textDirection w:val="lrTb"/>
            <w:noWrap w:val="false"/>
          </w:tcPr>
          <w:p>
            <w:pPr>
              <w:pStyle w:val="1073"/>
              <w:jc w:val="left"/>
            </w:pPr>
            <w:r>
              <w:t xml:space="preserve">Наименование и адрес </w:t>
            </w:r>
            <w:r>
              <w:t xml:space="preserve">ЭП,</w:t>
            </w:r>
            <w:r>
              <w:t xml:space="preserve"> на</w:t>
            </w:r>
            <w:r>
              <w:t xml:space="preserve"> </w:t>
            </w:r>
            <w:r>
              <w:t xml:space="preserve">которой проводится закупка</w:t>
            </w:r>
            <w:r>
              <w:t xml:space="preserve">:</w:t>
            </w:r>
            <w:r/>
          </w:p>
        </w:tc>
        <w:tc>
          <w:tcPr>
            <w:tcW w:w="5676" w:type="dxa"/>
            <w:textDirection w:val="lrTb"/>
            <w:noWrap w:val="false"/>
          </w:tcPr>
          <w:p>
            <w:pPr>
              <w:ind w:left="40"/>
              <w:spacing w:before="0"/>
            </w:pPr>
            <w:r>
              <w:t xml:space="preserve">Электронная торговая площадка: </w:t>
            </w:r>
            <w:hyperlink r:id="rId13" w:tooltip="https://msp.roseltorg.ru" w:history="1">
              <w:r>
                <w:rPr>
                  <w:rStyle w:val="1083"/>
                </w:rPr>
                <w:t xml:space="preserve">https://corp.roseltorg.ru</w:t>
              </w:r>
            </w:hyperlink>
            <w:r/>
            <w:r/>
          </w:p>
          <w:p>
            <w:pPr>
              <w:pStyle w:val="1073"/>
            </w:pPr>
            <w:r>
              <w:t xml:space="preserve">Регламент ЭП, в соответствии с которым </w:t>
            </w:r>
            <w:r>
              <w:t xml:space="preserve">проводится закупка, размещен по адресу:</w:t>
            </w:r>
            <w:r>
              <w:t xml:space="preserve"> </w:t>
            </w:r>
            <w:hyperlink r:id="rId14" w:tooltip="http://www.roseltorg.ru/knowledge_db/docs/documents" w:history="1">
              <w:r>
                <w:rPr>
                  <w:rStyle w:val="1083"/>
                  <w:highlight w:val="white"/>
                </w:rPr>
                <w:t xml:space="preserve">www.roseltorg.ru/knowledge_db/docs/documents</w:t>
              </w:r>
              <w:r>
                <w:rPr>
                  <w:rStyle w:val="1083"/>
                  <w:highlight w:val="none"/>
                </w:rPr>
              </w:r>
            </w:hyperlink>
            <w:r>
              <w:t xml:space="preserve">.</w:t>
            </w:r>
            <w:r/>
          </w:p>
        </w:tc>
      </w:tr>
      <w:tr>
        <w:tblPrEx/>
        <w:trPr/>
        <w:tc>
          <w:tcPr>
            <w:tcW w:w="846" w:type="dxa"/>
            <w:textDirection w:val="lrTb"/>
            <w:noWrap w:val="false"/>
          </w:tcPr>
          <w:p>
            <w:pPr>
              <w:pStyle w:val="1069"/>
            </w:pPr>
            <w:r/>
            <w:bookmarkStart w:id="14" w:name="_Ref125360970"/>
            <w:r/>
            <w:bookmarkEnd w:id="14"/>
            <w:r/>
            <w:r/>
          </w:p>
        </w:tc>
        <w:tc>
          <w:tcPr>
            <w:tcW w:w="3232" w:type="dxa"/>
            <w:textDirection w:val="lrTb"/>
            <w:noWrap w:val="false"/>
          </w:tcPr>
          <w:p>
            <w:pPr>
              <w:pStyle w:val="1073"/>
              <w:jc w:val="left"/>
            </w:pPr>
            <w:r>
              <w:t xml:space="preserve">Участники</w:t>
            </w:r>
            <w:r>
              <w:t xml:space="preserve">:</w:t>
            </w:r>
            <w:r/>
          </w:p>
        </w:tc>
        <w:tc>
          <w:tcPr>
            <w:tcW w:w="5676" w:type="dxa"/>
            <w:textDirection w:val="lrTb"/>
            <w:noWrap w:val="false"/>
          </w:tcPr>
          <w:p>
            <w:pPr>
              <w:pStyle w:val="1073"/>
            </w:pPr>
            <w:r>
              <w:t xml:space="preserve">Участвовать в закупке могут только субъекты МСП, а также физические лица, не являющи</w:t>
            </w:r>
            <w:r>
              <w:t xml:space="preserve">е</w:t>
            </w:r>
            <w:r>
              <w:t xml:space="preserve">ся индивидуальными предпринимателями и применяющи</w:t>
            </w:r>
            <w:r>
              <w:t xml:space="preserve">е</w:t>
            </w:r>
            <w:r>
              <w:t xml:space="preserve"> специальный налоговый режим «Налог на профессиональный доход».</w:t>
            </w:r>
            <w:r/>
          </w:p>
          <w:p>
            <w:pPr>
              <w:pStyle w:val="1073"/>
            </w:pPr>
            <w:r>
              <w:t xml:space="preserve">При этом Участник вправе привлекать субподрядчиков (соисполнителей), в том числе не являющихся субъектами МСП, а также указанными выше физическими лицами (в случае отсутствия в условиях </w:t>
            </w:r>
            <w:hyperlink w:tooltip="#Прил02_ПроектДоговора" w:anchor="Прил02_ПроектДоговора" w:history="1">
              <w:r>
                <w:rPr>
                  <w:rStyle w:val="1097"/>
                </w:rPr>
                <w:t xml:space="preserve">Проекта Договора (Приложение № 2)</w:t>
              </w:r>
            </w:hyperlink>
            <w:r>
              <w:t xml:space="preserve"> прямого запрета на привлечение к исполнению обязательств по Договору третьих лиц).</w:t>
            </w:r>
            <w:r/>
          </w:p>
        </w:tc>
      </w:tr>
      <w:tr>
        <w:tblPrEx/>
        <w:trPr/>
        <w:tc>
          <w:tcPr>
            <w:tcW w:w="846" w:type="dxa"/>
            <w:textDirection w:val="lrTb"/>
            <w:noWrap w:val="false"/>
          </w:tcPr>
          <w:p>
            <w:pPr>
              <w:pStyle w:val="1069"/>
            </w:pPr>
            <w:r/>
            <w:bookmarkStart w:id="15" w:name="_Ref125360988"/>
            <w:r/>
            <w:bookmarkEnd w:id="15"/>
            <w:r/>
            <w:r/>
          </w:p>
        </w:tc>
        <w:tc>
          <w:tcPr>
            <w:tcW w:w="3232" w:type="dxa"/>
            <w:textDirection w:val="lrTb"/>
            <w:noWrap w:val="false"/>
          </w:tcPr>
          <w:p>
            <w:pPr>
              <w:pStyle w:val="1073"/>
              <w:jc w:val="left"/>
            </w:pPr>
            <w:r>
              <w:t xml:space="preserve">Заказчик</w:t>
            </w:r>
            <w:r>
              <w:t xml:space="preserve">:</w:t>
            </w:r>
            <w:r/>
          </w:p>
        </w:tc>
        <w:tc>
          <w:tcPr>
            <w:tcW w:w="5676" w:type="dxa"/>
            <w:textDirection w:val="lrTb"/>
            <w:noWrap w:val="false"/>
          </w:tcPr>
          <w:p>
            <w:pPr>
              <w:pStyle w:val="1073"/>
              <w:keepNext/>
            </w:pPr>
            <w:r>
              <w:t xml:space="preserve">Наименование (полное): </w:t>
            </w:r>
            <w:r>
              <w:rPr>
                <w:b w:val="0"/>
                <w:sz w:val="26"/>
                <w:szCs w:val="26"/>
              </w:rPr>
              <w:t xml:space="preserve">Акционерное общество «Дальневосточная генерирующая компания»</w:t>
            </w:r>
            <w:r/>
          </w:p>
          <w:p>
            <w:pPr>
              <w:pStyle w:val="1073"/>
              <w:keepNext/>
            </w:pPr>
            <w:r>
              <w:t xml:space="preserve">Наименование (сокращенное): </w:t>
            </w:r>
            <w:r>
              <w:rPr>
                <w:b w:val="0"/>
                <w:sz w:val="26"/>
                <w:szCs w:val="26"/>
              </w:rPr>
              <w:t xml:space="preserve">АО «ДГК»</w:t>
            </w:r>
            <w:r/>
          </w:p>
          <w:p>
            <w:pPr>
              <w:pStyle w:val="1073"/>
              <w:keepNext/>
            </w:pPr>
            <w:r>
              <w:t xml:space="preserve">Место нахождения: </w:t>
            </w:r>
            <w:r>
              <w:rPr>
                <w:b w:val="0"/>
                <w:sz w:val="26"/>
                <w:szCs w:val="26"/>
              </w:rPr>
              <w:t xml:space="preserve">680000, г. Хабаровск, </w:t>
            </w:r>
            <w:r>
              <w:rPr>
                <w:b w:val="0"/>
                <w:sz w:val="26"/>
                <w:szCs w:val="26"/>
              </w:rPr>
              <w:t xml:space="preserve">ул. Фрунзе, </w:t>
            </w:r>
            <w:r>
              <w:rPr>
                <w:b w:val="0"/>
                <w:sz w:val="26"/>
                <w:szCs w:val="26"/>
              </w:rPr>
              <w:t xml:space="preserve">д. 49</w:t>
            </w:r>
            <w:r/>
          </w:p>
          <w:p>
            <w:pPr>
              <w:pStyle w:val="1073"/>
              <w:keepNext/>
            </w:pPr>
            <w:r>
              <w:t xml:space="preserve">Почтовый адрес: </w:t>
            </w:r>
            <w:r>
              <w:rPr>
                <w:b w:val="0"/>
                <w:sz w:val="26"/>
                <w:szCs w:val="26"/>
              </w:rPr>
              <w:t xml:space="preserve">680000, г. Хабаровск, </w:t>
            </w:r>
            <w:r>
              <w:rPr>
                <w:b w:val="0"/>
                <w:sz w:val="26"/>
                <w:szCs w:val="26"/>
              </w:rPr>
              <w:t xml:space="preserve">ул. Фрунзе, </w:t>
            </w:r>
            <w:r>
              <w:rPr>
                <w:b w:val="0"/>
                <w:sz w:val="26"/>
                <w:szCs w:val="26"/>
              </w:rPr>
              <w:t xml:space="preserve">д. 49</w:t>
            </w:r>
            <w:r/>
          </w:p>
          <w:p>
            <w:pPr>
              <w:pStyle w:val="1073"/>
              <w:keepNext/>
            </w:pPr>
            <w:r>
              <w:t xml:space="preserve">Адрес электронной почты: </w:t>
            </w:r>
            <w:r>
              <w:rPr>
                <w:b w:val="0"/>
                <w:sz w:val="26"/>
                <w:szCs w:val="26"/>
              </w:rPr>
            </w:r>
            <w:hyperlink r:id="rId15" w:tooltip="mailto:dgk@dgk.ru" w:history="1">
              <w:r>
                <w:rPr>
                  <w:rStyle w:val="1083"/>
                  <w:b w:val="0"/>
                  <w:sz w:val="26"/>
                  <w:szCs w:val="26"/>
                </w:rPr>
                <w:t xml:space="preserve">dgk@dgk.ru</w:t>
              </w:r>
            </w:hyperlink>
            <w:r/>
            <w:r/>
          </w:p>
          <w:p>
            <w:pPr>
              <w:pStyle w:val="1073"/>
              <w:keepNext/>
            </w:pPr>
            <w:r>
              <w:t xml:space="preserve">Контактный телефон: </w:t>
            </w:r>
            <w:r>
              <w:rPr>
                <w:b w:val="0"/>
                <w:sz w:val="26"/>
                <w:szCs w:val="26"/>
              </w:rPr>
              <w:t xml:space="preserve">(4212) 26-46-73</w:t>
            </w:r>
            <w:r/>
          </w:p>
        </w:tc>
      </w:tr>
      <w:tr>
        <w:tblPrEx/>
        <w:trPr/>
        <w:tc>
          <w:tcPr>
            <w:tcW w:w="846" w:type="dxa"/>
            <w:textDirection w:val="lrTb"/>
            <w:noWrap w:val="false"/>
          </w:tcPr>
          <w:p>
            <w:pPr>
              <w:pStyle w:val="1069"/>
            </w:pPr>
            <w:r/>
            <w:bookmarkStart w:id="16" w:name="_Ref125360954"/>
            <w:r/>
            <w:bookmarkEnd w:id="16"/>
            <w:r/>
            <w:r/>
          </w:p>
        </w:tc>
        <w:tc>
          <w:tcPr>
            <w:tcW w:w="3232" w:type="dxa"/>
            <w:textDirection w:val="lrTb"/>
            <w:noWrap w:val="false"/>
          </w:tcPr>
          <w:p>
            <w:pPr>
              <w:pStyle w:val="1073"/>
              <w:jc w:val="left"/>
            </w:pPr>
            <w:r>
              <w:t xml:space="preserve">Организатор</w:t>
            </w:r>
            <w:r>
              <w:t xml:space="preserve">:</w:t>
            </w:r>
            <w:r/>
          </w:p>
        </w:tc>
        <w:tc>
          <w:tcPr>
            <w:tcW w:w="5676" w:type="dxa"/>
            <w:textDirection w:val="lrTb"/>
            <w:noWrap w:val="false"/>
          </w:tcPr>
          <w:p>
            <w:pPr>
              <w:pStyle w:val="1073"/>
              <w:keepNext/>
            </w:pPr>
            <w:r>
              <w:t xml:space="preserve">Наименование (полное): </w:t>
            </w:r>
            <w:r>
              <w:rPr>
                <w:b w:val="0"/>
                <w:sz w:val="26"/>
                <w:szCs w:val="26"/>
              </w:rPr>
              <w:t xml:space="preserve">Акционерное общество «Дальневосточная генерирующая компания»</w:t>
            </w:r>
            <w:r/>
          </w:p>
          <w:p>
            <w:pPr>
              <w:pStyle w:val="1073"/>
              <w:keepNext/>
            </w:pPr>
            <w:r>
              <w:t xml:space="preserve">Наименование (сокращенное): </w:t>
            </w:r>
            <w:r>
              <w:rPr>
                <w:b w:val="0"/>
                <w:sz w:val="26"/>
                <w:szCs w:val="26"/>
              </w:rPr>
              <w:t xml:space="preserve">АО «ДГК»</w:t>
            </w:r>
            <w:r/>
          </w:p>
          <w:p>
            <w:pPr>
              <w:pStyle w:val="1073"/>
              <w:keepNext/>
            </w:pPr>
            <w:r>
              <w:t xml:space="preserve">Место нахождения: </w:t>
            </w:r>
            <w:r>
              <w:rPr>
                <w:b w:val="0"/>
                <w:sz w:val="26"/>
                <w:szCs w:val="26"/>
              </w:rPr>
              <w:t xml:space="preserve">680000, г. Хабаровск, </w:t>
            </w:r>
            <w:r>
              <w:rPr>
                <w:b w:val="0"/>
                <w:sz w:val="26"/>
                <w:szCs w:val="26"/>
              </w:rPr>
              <w:t xml:space="preserve">ул. Фрунзе, </w:t>
            </w:r>
            <w:r>
              <w:rPr>
                <w:b w:val="0"/>
                <w:sz w:val="26"/>
                <w:szCs w:val="26"/>
              </w:rPr>
              <w:t xml:space="preserve">д. 49</w:t>
            </w:r>
            <w:r/>
          </w:p>
          <w:p>
            <w:pPr>
              <w:pStyle w:val="1073"/>
              <w:keepNext/>
            </w:pPr>
            <w:r>
              <w:t xml:space="preserve">Почтовый адрес: </w:t>
            </w:r>
            <w:r>
              <w:rPr>
                <w:b w:val="0"/>
                <w:sz w:val="26"/>
                <w:szCs w:val="26"/>
              </w:rPr>
              <w:t xml:space="preserve">680000, г. Хабаровск, </w:t>
            </w:r>
            <w:r>
              <w:rPr>
                <w:b w:val="0"/>
                <w:sz w:val="26"/>
                <w:szCs w:val="26"/>
              </w:rPr>
              <w:t xml:space="preserve">ул. Фрунзе, </w:t>
            </w:r>
            <w:r>
              <w:rPr>
                <w:b w:val="0"/>
                <w:sz w:val="26"/>
                <w:szCs w:val="26"/>
              </w:rPr>
              <w:t xml:space="preserve">д. 49</w:t>
            </w:r>
            <w:r/>
          </w:p>
          <w:p>
            <w:r>
              <w:rPr>
                <w:color w:val="auto"/>
              </w:rPr>
              <w:t xml:space="preserve">Адрес электронной </w:t>
            </w:r>
            <w:hyperlink r:id="rId16" w:tooltip="http://почты:chernikova-na@dgk.ru" w:history="1">
              <w:r>
                <w:rPr>
                  <w:rStyle w:val="1083"/>
                  <w:color w:val="auto"/>
                  <w:u w:val="none"/>
                </w:rPr>
                <w:t xml:space="preserve">почты</w:t>
              </w:r>
              <w:r>
                <w:rPr>
                  <w:rStyle w:val="1083"/>
                  <w:u w:val="none"/>
                </w:rPr>
                <w:t xml:space="preserve">:</w:t>
              </w:r>
              <w:r>
                <w:rPr>
                  <w:rStyle w:val="1083"/>
                </w:rPr>
                <w:t xml:space="preserve">chernikova-na@dgk.ru</w:t>
              </w:r>
              <w:r>
                <w:rPr>
                  <w:rStyle w:val="1083"/>
                </w:rPr>
              </w:r>
            </w:hyperlink>
            <w:r>
              <w:t xml:space="preserve"> </w:t>
            </w:r>
            <w:r/>
          </w:p>
          <w:p>
            <w:pPr>
              <w:pStyle w:val="1073"/>
            </w:pPr>
            <w:r>
              <w:t xml:space="preserve">Контактный телефон: </w:t>
            </w:r>
            <w:r>
              <w:rPr>
                <w:b w:val="0"/>
                <w:sz w:val="26"/>
                <w:szCs w:val="26"/>
              </w:rPr>
              <w:t xml:space="preserve">(4212) 26-46-73</w:t>
            </w:r>
            <w:r/>
          </w:p>
        </w:tc>
      </w:tr>
      <w:tr>
        <w:tblPrEx/>
        <w:trPr/>
        <w:tc>
          <w:tcPr>
            <w:tcW w:w="846" w:type="dxa"/>
            <w:textDirection w:val="lrTb"/>
            <w:noWrap w:val="false"/>
          </w:tcPr>
          <w:p>
            <w:pPr>
              <w:pStyle w:val="1069"/>
            </w:pPr>
            <w:r/>
            <w:bookmarkStart w:id="17" w:name="_Ref125361238"/>
            <w:r/>
            <w:bookmarkEnd w:id="17"/>
            <w:r/>
            <w:r/>
          </w:p>
        </w:tc>
        <w:tc>
          <w:tcPr>
            <w:tcW w:w="3232" w:type="dxa"/>
            <w:textDirection w:val="lrTb"/>
            <w:noWrap w:val="false"/>
          </w:tcPr>
          <w:p>
            <w:pPr>
              <w:pStyle w:val="1073"/>
              <w:jc w:val="left"/>
            </w:pPr>
            <w:r>
              <w:t xml:space="preserve">Представитель Организатора</w:t>
            </w:r>
            <w:r>
              <w:t xml:space="preserve">:</w:t>
            </w:r>
            <w:r/>
          </w:p>
        </w:tc>
        <w:tc>
          <w:tcPr>
            <w:tcW w:w="5676" w:type="dxa"/>
            <w:textDirection w:val="lrTb"/>
            <w:noWrap w:val="false"/>
          </w:tcPr>
          <w:p>
            <w:pPr>
              <w:pStyle w:val="1073"/>
              <w:keepNext/>
            </w:pPr>
            <w:r>
              <w:t xml:space="preserve">Контактное лицо (Ф.И.О.):</w:t>
            </w:r>
            <w:r/>
          </w:p>
          <w:p>
            <w:pPr>
              <w:pStyle w:val="1073"/>
            </w:pPr>
            <w:r>
              <w:rPr>
                <w:b w:val="0"/>
                <w:sz w:val="26"/>
                <w:szCs w:val="26"/>
              </w:rPr>
              <w:t xml:space="preserve">Черникова Наталья Александровна</w:t>
            </w:r>
            <w:r/>
          </w:p>
          <w:p>
            <w:pPr>
              <w:pStyle w:val="1073"/>
              <w:keepNext/>
            </w:pPr>
            <w:r>
              <w:t xml:space="preserve">Адрес электронной почты: </w:t>
            </w:r>
            <w:hyperlink r:id="rId17" w:tooltip="http://chernikova-na@dgk.ru" w:history="1">
              <w:r>
                <w:rPr>
                  <w:rStyle w:val="1083"/>
                </w:rPr>
                <w:t xml:space="preserve">chernikova-na@dgk.ru</w:t>
              </w:r>
            </w:hyperlink>
            <w:r>
              <w:t xml:space="preserve"> </w:t>
            </w:r>
            <w:r/>
          </w:p>
          <w:p>
            <w:pPr>
              <w:pStyle w:val="1073"/>
              <w:keepNext/>
            </w:pPr>
            <w:r>
              <w:t xml:space="preserve">Контактный телефон: </w:t>
            </w:r>
            <w:r>
              <w:rPr>
                <w:b w:val="0"/>
                <w:sz w:val="26"/>
                <w:szCs w:val="26"/>
              </w:rPr>
              <w:t xml:space="preserve">(4212) 26-46-73</w:t>
            </w:r>
            <w:r/>
          </w:p>
        </w:tc>
      </w:tr>
      <w:tr>
        <w:tblPrEx/>
        <w:trPr/>
        <w:tc>
          <w:tcPr>
            <w:tcW w:w="846" w:type="dxa"/>
            <w:textDirection w:val="lrTb"/>
            <w:noWrap w:val="false"/>
          </w:tcPr>
          <w:p>
            <w:pPr>
              <w:pStyle w:val="1069"/>
            </w:pPr>
            <w:r/>
            <w:bookmarkStart w:id="18" w:name="_Ref125362694"/>
            <w:r/>
            <w:bookmarkEnd w:id="18"/>
            <w:r/>
            <w:r/>
          </w:p>
        </w:tc>
        <w:tc>
          <w:tcPr>
            <w:tcW w:w="3232" w:type="dxa"/>
            <w:textDirection w:val="lrTb"/>
            <w:noWrap w:val="false"/>
          </w:tcPr>
          <w:p>
            <w:pPr>
              <w:pStyle w:val="1073"/>
              <w:jc w:val="left"/>
            </w:pPr>
            <w:r>
              <w:t xml:space="preserve">Официальный источник размещения информации о</w:t>
            </w:r>
            <w:r>
              <w:t xml:space="preserve"> </w:t>
            </w:r>
            <w:r>
              <w:t xml:space="preserve">проведении закупки</w:t>
            </w:r>
            <w:r>
              <w:t xml:space="preserve"> / с</w:t>
            </w:r>
            <w:r>
              <w:t xml:space="preserve">рок, место и порядок предоставления Документации о закупке</w:t>
            </w:r>
            <w:r>
              <w:t xml:space="preserve">:</w:t>
            </w:r>
            <w:r/>
          </w:p>
        </w:tc>
        <w:tc>
          <w:tcPr>
            <w:tcW w:w="5676" w:type="dxa"/>
            <w:textDirection w:val="lrTb"/>
            <w:noWrap w:val="false"/>
          </w:tcPr>
          <w:p>
            <w:pPr>
              <w:pStyle w:val="1073"/>
            </w:pPr>
            <w:r>
              <w:t xml:space="preserve">Документация о закупке официально размещена </w:t>
            </w:r>
            <w:r>
              <w:t xml:space="preserve">в </w:t>
            </w:r>
            <w:r>
              <w:t xml:space="preserve">ЕИС</w:t>
            </w:r>
            <w:r>
              <w:t xml:space="preserve"> </w:t>
            </w:r>
            <w:r>
              <w:t xml:space="preserve">и доступна</w:t>
            </w:r>
            <w:r>
              <w:t xml:space="preserve"> на Официальном сайте </w:t>
            </w:r>
            <w:r>
              <w:t xml:space="preserve">для</w:t>
            </w:r>
            <w:r>
              <w:t xml:space="preserve"> </w:t>
            </w:r>
            <w:r>
              <w:t xml:space="preserve">ознакомления любым заинтересованным лицам.</w:t>
            </w:r>
            <w:r>
              <w:t xml:space="preserve"> </w:t>
            </w:r>
            <w:r>
              <w:t xml:space="preserve">Официальным источником информации о</w:t>
            </w:r>
            <w:r>
              <w:t xml:space="preserve"> </w:t>
            </w:r>
            <w:r>
              <w:t xml:space="preserve">ходе проведения закупки является</w:t>
            </w:r>
            <w:r>
              <w:t xml:space="preserve"> Официальный сайт </w:t>
            </w:r>
            <w:r>
              <w:t xml:space="preserve">(</w:t>
            </w:r>
            <w:r>
              <w:t xml:space="preserve">zakupki.gov.ru</w:t>
            </w:r>
            <w:r>
              <w:t xml:space="preserve">)</w:t>
            </w:r>
            <w:r>
              <w:t xml:space="preserve">.</w:t>
            </w:r>
            <w:r/>
          </w:p>
          <w:p>
            <w:pPr>
              <w:pStyle w:val="1073"/>
            </w:pPr>
            <w:r>
              <w:t xml:space="preserve">Документация о закупке доступна</w:t>
            </w:r>
            <w:r>
              <w:t xml:space="preserve"> </w:t>
            </w:r>
            <w:r>
              <w:t xml:space="preserve">(</w:t>
            </w:r>
            <w:r>
              <w:t xml:space="preserve">без</w:t>
            </w:r>
            <w:r>
              <w:t xml:space="preserve"> </w:t>
            </w:r>
            <w:r>
              <w:t xml:space="preserve">взимания платы</w:t>
            </w:r>
            <w:r>
              <w:t xml:space="preserve">)</w:t>
            </w:r>
            <w:r>
              <w:t xml:space="preserve"> в форме электронного документа в</w:t>
            </w:r>
            <w:r>
              <w:t xml:space="preserve"> </w:t>
            </w:r>
            <w:r>
              <w:t xml:space="preserve">любое время с момента официального размещения Извещения.</w:t>
            </w:r>
            <w:r>
              <w:t xml:space="preserve"> </w:t>
            </w:r>
            <w:r>
              <w:t xml:space="preserve">Предоставление Документации </w:t>
            </w:r>
            <w:r>
              <w:t xml:space="preserve">о</w:t>
            </w:r>
            <w:r>
              <w:t xml:space="preserve"> </w:t>
            </w:r>
            <w:r>
              <w:t xml:space="preserve">закупке на</w:t>
            </w:r>
            <w:r>
              <w:t xml:space="preserve"> </w:t>
            </w:r>
            <w:r>
              <w:t xml:space="preserve">бумажном носителе не</w:t>
            </w:r>
            <w:r>
              <w:t xml:space="preserve"> </w:t>
            </w:r>
            <w:r>
              <w:t xml:space="preserve">предусмотрено.</w:t>
            </w:r>
            <w:r/>
          </w:p>
        </w:tc>
      </w:tr>
      <w:tr>
        <w:tblPrEx/>
        <w:trPr/>
        <w:tc>
          <w:tcPr>
            <w:tcW w:w="846" w:type="dxa"/>
            <w:textDirection w:val="lrTb"/>
            <w:noWrap w:val="false"/>
          </w:tcPr>
          <w:p>
            <w:pPr>
              <w:pStyle w:val="1069"/>
            </w:pPr>
            <w:r/>
            <w:bookmarkStart w:id="19" w:name="_Ref125360963"/>
            <w:r/>
            <w:bookmarkEnd w:id="19"/>
            <w:r/>
            <w:r/>
          </w:p>
        </w:tc>
        <w:tc>
          <w:tcPr>
            <w:tcW w:w="3232" w:type="dxa"/>
            <w:textDirection w:val="lrTb"/>
            <w:noWrap w:val="false"/>
          </w:tcPr>
          <w:p>
            <w:pPr>
              <w:pStyle w:val="1073"/>
              <w:jc w:val="left"/>
            </w:pPr>
            <w:r>
              <w:t xml:space="preserve">Дата размещения Извещения о проведении закупки</w:t>
            </w:r>
            <w:r>
              <w:t xml:space="preserve">:</w:t>
            </w:r>
            <w:r/>
          </w:p>
        </w:tc>
        <w:tc>
          <w:tcPr>
            <w:tcW w:w="5676" w:type="dxa"/>
            <w:textDirection w:val="lrTb"/>
            <w:noWrap w:val="false"/>
          </w:tcPr>
          <w:p>
            <w:pPr>
              <w:pStyle w:val="1073"/>
            </w:pPr>
            <w:r>
              <w:t xml:space="preserve">«04»</w:t>
            </w:r>
            <w:r>
              <w:t xml:space="preserve"> сентября</w:t>
            </w:r>
            <w:r>
              <w:t xml:space="preserve"> 2026 г.</w:t>
            </w:r>
            <w:r/>
          </w:p>
        </w:tc>
      </w:tr>
      <w:tr>
        <w:tblPrEx/>
        <w:trPr/>
        <w:tc>
          <w:tcPr>
            <w:tcW w:w="846" w:type="dxa"/>
            <w:textDirection w:val="lrTb"/>
            <w:noWrap w:val="false"/>
          </w:tcPr>
          <w:p>
            <w:pPr>
              <w:pStyle w:val="1069"/>
            </w:pPr>
            <w:r/>
            <w:bookmarkStart w:id="20" w:name="_Ref125362837"/>
            <w:r/>
            <w:bookmarkEnd w:id="20"/>
            <w:r/>
            <w:r/>
          </w:p>
        </w:tc>
        <w:tc>
          <w:tcPr>
            <w:tcW w:w="3232" w:type="dxa"/>
            <w:textDirection w:val="lrTb"/>
            <w:noWrap w:val="false"/>
          </w:tcPr>
          <w:p>
            <w:pPr>
              <w:pStyle w:val="1073"/>
              <w:jc w:val="left"/>
            </w:pPr>
            <w:r>
              <w:t xml:space="preserve">Начальная (максимальная) цена договора (цена лота)</w:t>
            </w:r>
            <w:r>
              <w:t xml:space="preserve">:</w:t>
            </w:r>
            <w:r/>
          </w:p>
        </w:tc>
        <w:tc>
          <w:tcPr>
            <w:tcW w:w="5676" w:type="dxa"/>
            <w:textDirection w:val="lrTb"/>
            <w:noWrap w:val="false"/>
          </w:tcPr>
          <w:p>
            <w:pPr>
              <w:pStyle w:val="1073"/>
            </w:pPr>
            <w:r>
              <w:t xml:space="preserve">НМЦ составляет 4 021 416,17</w:t>
            </w:r>
            <w:r>
              <w:t xml:space="preserve"> </w:t>
            </w:r>
            <w:r>
              <w:t xml:space="preserve">руб., без учета НДС.</w:t>
            </w:r>
            <w:r/>
          </w:p>
          <w:p>
            <w:pPr>
              <w:pStyle w:val="1073"/>
            </w:pPr>
            <w:r>
              <w:t xml:space="preserve">Обоснование НМЦ </w:t>
            </w:r>
            <w:r>
              <w:t xml:space="preserve">представлено в </w:t>
            </w:r>
            <w:hyperlink w:tooltip="#Прил09_ОбоснованиеНМЦ" w:anchor="Прил09_ОбоснованиеНМЦ" w:history="1">
              <w:r>
                <w:rPr>
                  <w:rStyle w:val="1097"/>
                </w:rPr>
                <w:t xml:space="preserve">Приложени</w:t>
              </w:r>
              <w:r>
                <w:rPr>
                  <w:rStyle w:val="1097"/>
                </w:rPr>
                <w:t xml:space="preserve">и</w:t>
              </w:r>
              <w:r>
                <w:rPr>
                  <w:rStyle w:val="1097"/>
                </w:rPr>
                <w:t xml:space="preserve"> №</w:t>
              </w:r>
              <w:r>
                <w:rPr>
                  <w:rStyle w:val="1097"/>
                </w:rPr>
                <w:t xml:space="preserve"> </w:t>
              </w:r>
              <w:r>
                <w:rPr>
                  <w:rStyle w:val="1097"/>
                </w:rPr>
                <w:t xml:space="preserve">9</w:t>
              </w:r>
            </w:hyperlink>
            <w:r>
              <w:t xml:space="preserve">.</w:t>
            </w:r>
            <w:r/>
          </w:p>
        </w:tc>
      </w:tr>
      <w:tr>
        <w:tblPrEx/>
        <w:trPr/>
        <w:tc>
          <w:tcPr>
            <w:tcW w:w="846" w:type="dxa"/>
            <w:textDirection w:val="lrTb"/>
            <w:noWrap w:val="false"/>
          </w:tcPr>
          <w:p>
            <w:pPr>
              <w:pStyle w:val="1069"/>
            </w:pPr>
            <w:r/>
            <w:bookmarkStart w:id="21" w:name="_Ref125363076"/>
            <w:r/>
            <w:bookmarkEnd w:id="21"/>
            <w:r/>
            <w:r/>
          </w:p>
        </w:tc>
        <w:tc>
          <w:tcPr>
            <w:tcW w:w="3232" w:type="dxa"/>
            <w:textDirection w:val="lrTb"/>
            <w:noWrap w:val="false"/>
          </w:tcPr>
          <w:p>
            <w:pPr>
              <w:pStyle w:val="1073"/>
              <w:jc w:val="left"/>
            </w:pPr>
            <w:r>
              <w:t xml:space="preserve">Обеспечение заявки на</w:t>
            </w:r>
            <w:r>
              <w:t xml:space="preserve"> </w:t>
            </w:r>
            <w:r>
              <w:t xml:space="preserve">участие в закупке</w:t>
            </w:r>
            <w:r>
              <w:t xml:space="preserve">:</w:t>
            </w:r>
            <w:r/>
          </w:p>
        </w:tc>
        <w:tc>
          <w:tcPr>
            <w:tcW w:w="5676" w:type="dxa"/>
            <w:textDirection w:val="lrTb"/>
            <w:noWrap w:val="false"/>
          </w:tcPr>
          <w:p>
            <w:pPr>
              <w:pStyle w:val="1073"/>
            </w:pPr>
            <w:r>
              <w:t xml:space="preserve">Не требуется.</w:t>
            </w:r>
            <w:r/>
          </w:p>
          <w:p>
            <w:pPr>
              <w:pStyle w:val="1103"/>
            </w:pPr>
            <w:r/>
            <w:r/>
          </w:p>
          <w:p>
            <w:pPr>
              <w:pStyle w:val="1073"/>
            </w:pPr>
            <w:r>
              <w:rPr>
                <w:rStyle w:val="1078"/>
                <w:i w:val="0"/>
                <w:iCs w:val="0"/>
                <w:shd w:val="clear" w:color="auto" w:fill="auto"/>
              </w:rPr>
              <w:t xml:space="preserve">Внимание! Для того, чтобы иметь возможность подать заявку на участие в закупке, в соответствии с Регламентом ЭП на счете Участника, открытом ему </w:t>
            </w:r>
            <w:r>
              <w:rPr>
                <w:rStyle w:val="1078"/>
                <w:i w:val="0"/>
                <w:iCs w:val="0"/>
                <w:shd w:val="clear" w:color="auto" w:fill="auto"/>
              </w:rPr>
              <w:t xml:space="preserve">О</w:t>
            </w:r>
            <w:r>
              <w:rPr>
                <w:rStyle w:val="1078"/>
                <w:i w:val="0"/>
                <w:iCs w:val="0"/>
                <w:shd w:val="clear" w:color="auto" w:fill="auto"/>
              </w:rPr>
              <w:t xml:space="preserve">ператором ЭП, должна быть внесена сумма </w:t>
            </w:r>
            <w:r>
              <w:rPr>
                <w:rStyle w:val="1078"/>
                <w:i w:val="0"/>
                <w:iCs w:val="0"/>
                <w:shd w:val="clear" w:color="auto" w:fill="auto"/>
              </w:rPr>
              <w:t xml:space="preserve">в</w:t>
            </w:r>
            <w:r>
              <w:rPr>
                <w:rStyle w:val="1078"/>
                <w:i w:val="0"/>
                <w:iCs w:val="0"/>
                <w:shd w:val="clear" w:color="auto" w:fill="auto"/>
              </w:rPr>
              <w:t xml:space="preserve"> </w:t>
            </w:r>
            <w:r>
              <w:rPr>
                <w:rStyle w:val="1078"/>
                <w:i w:val="0"/>
                <w:iCs w:val="0"/>
                <w:shd w:val="clear" w:color="auto" w:fill="auto"/>
              </w:rPr>
              <w:t xml:space="preserve">размере не</w:t>
            </w:r>
            <w:r>
              <w:rPr>
                <w:rStyle w:val="1078"/>
                <w:i w:val="0"/>
                <w:iCs w:val="0"/>
                <w:shd w:val="clear" w:color="auto" w:fill="auto"/>
              </w:rPr>
              <w:t xml:space="preserve"> </w:t>
            </w:r>
            <w:r>
              <w:rPr>
                <w:rStyle w:val="1078"/>
                <w:i w:val="0"/>
                <w:iCs w:val="0"/>
                <w:shd w:val="clear" w:color="auto" w:fill="auto"/>
              </w:rPr>
              <w:t xml:space="preserve">менее установленной платы в</w:t>
            </w:r>
            <w:r>
              <w:rPr>
                <w:rStyle w:val="1078"/>
                <w:i w:val="0"/>
                <w:iCs w:val="0"/>
                <w:shd w:val="clear" w:color="auto" w:fill="auto"/>
              </w:rPr>
              <w:t xml:space="preserve"> </w:t>
            </w:r>
            <w:r>
              <w:rPr>
                <w:rStyle w:val="1078"/>
                <w:i w:val="0"/>
                <w:iCs w:val="0"/>
                <w:shd w:val="clear" w:color="auto" w:fill="auto"/>
              </w:rPr>
              <w:t xml:space="preserve">соответствии с</w:t>
            </w:r>
            <w:r>
              <w:rPr>
                <w:rStyle w:val="1078"/>
                <w:i w:val="0"/>
                <w:iCs w:val="0"/>
                <w:shd w:val="clear" w:color="auto" w:fill="auto"/>
              </w:rPr>
              <w:t xml:space="preserve"> </w:t>
            </w:r>
            <w:r>
              <w:rPr>
                <w:rStyle w:val="1078"/>
                <w:i w:val="0"/>
                <w:iCs w:val="0"/>
                <w:shd w:val="clear" w:color="auto" w:fill="auto"/>
              </w:rPr>
              <w:t xml:space="preserve">тарифами </w:t>
            </w:r>
            <w:r>
              <w:rPr>
                <w:rStyle w:val="1078"/>
                <w:i w:val="0"/>
                <w:iCs w:val="0"/>
                <w:shd w:val="clear" w:color="auto" w:fill="auto"/>
              </w:rPr>
              <w:t xml:space="preserve">О</w:t>
            </w:r>
            <w:r>
              <w:rPr>
                <w:rStyle w:val="1078"/>
                <w:i w:val="0"/>
                <w:iCs w:val="0"/>
                <w:shd w:val="clear" w:color="auto" w:fill="auto"/>
              </w:rPr>
              <w:t xml:space="preserve">ператора ЭП.</w:t>
            </w:r>
            <w:r/>
          </w:p>
        </w:tc>
      </w:tr>
      <w:tr>
        <w:tblPrEx/>
        <w:trPr/>
        <w:tc>
          <w:tcPr>
            <w:tcW w:w="846" w:type="dxa"/>
            <w:textDirection w:val="lrTb"/>
            <w:noWrap w:val="false"/>
          </w:tcPr>
          <w:p>
            <w:pPr>
              <w:pStyle w:val="1069"/>
            </w:pPr>
            <w:r/>
            <w:bookmarkStart w:id="22" w:name="_Ref125362995"/>
            <w:r/>
            <w:bookmarkEnd w:id="22"/>
            <w:r/>
            <w:r/>
          </w:p>
        </w:tc>
        <w:tc>
          <w:tcPr>
            <w:tcW w:w="3232" w:type="dxa"/>
            <w:textDirection w:val="lrTb"/>
            <w:noWrap w:val="false"/>
          </w:tcPr>
          <w:p>
            <w:pPr>
              <w:pStyle w:val="1073"/>
              <w:jc w:val="left"/>
            </w:pPr>
            <w:r>
              <w:t xml:space="preserve">Требования</w:t>
            </w:r>
            <w:r>
              <w:br/>
            </w:r>
            <w:r>
              <w:t xml:space="preserve">к</w:t>
            </w:r>
            <w:r>
              <w:t xml:space="preserve"> </w:t>
            </w:r>
            <w:r>
              <w:t xml:space="preserve">описанию</w:t>
            </w:r>
            <w:r>
              <w:t xml:space="preserve"> </w:t>
            </w:r>
            <w:r>
              <w:t xml:space="preserve">продукции</w:t>
            </w:r>
            <w:r>
              <w:t xml:space="preserve">:</w:t>
            </w:r>
            <w:r/>
          </w:p>
        </w:tc>
        <w:tc>
          <w:tcPr>
            <w:tcW w:w="5676" w:type="dxa"/>
            <w:textDirection w:val="lrTb"/>
            <w:noWrap w:val="false"/>
          </w:tcPr>
          <w:p>
            <w:pPr>
              <w:pStyle w:val="1073"/>
            </w:pPr>
            <w:r>
              <w:t xml:space="preserve">П</w:t>
            </w:r>
            <w:r>
              <w:t xml:space="preserve">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w:t>
            </w:r>
            <w:r>
              <w:t xml:space="preserve"> </w:t>
            </w:r>
            <w:r>
              <w:t xml:space="preserve">параметрам эквивалентности, указанным в</w:t>
            </w:r>
            <w:r>
              <w:t xml:space="preserve"> </w:t>
            </w:r>
            <w:hyperlink w:tooltip="#Прил01_ТехТребования" w:anchor="Прил01_ТехТребования" w:history="1">
              <w:r>
                <w:rPr>
                  <w:rStyle w:val="1097"/>
                </w:rPr>
                <w:t xml:space="preserve">Технически</w:t>
              </w:r>
              <w:r>
                <w:rPr>
                  <w:rStyle w:val="1097"/>
                </w:rPr>
                <w:t xml:space="preserve">х</w:t>
              </w:r>
              <w:r>
                <w:rPr>
                  <w:rStyle w:val="1097"/>
                </w:rPr>
                <w:t xml:space="preserve"> требовани</w:t>
              </w:r>
              <w:r>
                <w:rPr>
                  <w:rStyle w:val="1097"/>
                </w:rPr>
                <w:t xml:space="preserve">я</w:t>
              </w:r>
              <w:r>
                <w:rPr>
                  <w:rStyle w:val="1097"/>
                </w:rPr>
                <w:t xml:space="preserve">х (Приложение № 1)</w:t>
              </w:r>
            </w:hyperlink>
            <w:r>
              <w:t xml:space="preserve">,</w:t>
            </w:r>
            <w:r>
              <w:t xml:space="preserve"> – по</w:t>
            </w:r>
            <w:r>
              <w:t xml:space="preserve"> </w:t>
            </w:r>
            <w:r>
              <w:t xml:space="preserve">установленной </w:t>
            </w:r>
            <w:r>
              <w:t xml:space="preserve">форме Технического предложения</w:t>
            </w:r>
            <w:r>
              <w:t xml:space="preserve"> (форма </w:t>
            </w:r>
            <w:r>
              <w:t xml:space="preserve">4</w:t>
            </w:r>
            <w:r>
              <w:t xml:space="preserve">) (</w:t>
            </w:r>
            <w:hyperlink w:tooltip="#Прил04_ФормыЗаявки" w:anchor="Прил04_ФормыЗаявки" w:history="1">
              <w:r>
                <w:rPr>
                  <w:rStyle w:val="1097"/>
                </w:rPr>
                <w:t xml:space="preserve">Приложение № </w:t>
              </w:r>
              <w:r>
                <w:rPr>
                  <w:rStyle w:val="1097"/>
                </w:rPr>
                <w:t xml:space="preserve">4</w:t>
              </w:r>
            </w:hyperlink>
            <w:r>
              <w:t xml:space="preserve">)</w:t>
            </w:r>
            <w:r>
              <w:t xml:space="preserve">.</w:t>
            </w:r>
            <w:r/>
          </w:p>
        </w:tc>
      </w:tr>
      <w:tr>
        <w:tblPrEx/>
        <w:trPr/>
        <w:tc>
          <w:tcPr>
            <w:tcW w:w="846" w:type="dxa"/>
            <w:textDirection w:val="lrTb"/>
            <w:noWrap w:val="false"/>
          </w:tcPr>
          <w:p>
            <w:pPr>
              <w:pStyle w:val="1069"/>
            </w:pPr>
            <w:r/>
            <w:r/>
          </w:p>
        </w:tc>
        <w:tc>
          <w:tcPr>
            <w:tcW w:w="3232" w:type="dxa"/>
            <w:textDirection w:val="lrTb"/>
            <w:noWrap w:val="false"/>
          </w:tcPr>
          <w:p>
            <w:pPr>
              <w:pStyle w:val="1073"/>
              <w:jc w:val="left"/>
            </w:pPr>
            <w:r>
              <w:t xml:space="preserve">Применение законодательства о</w:t>
            </w:r>
            <w:r>
              <w:t xml:space="preserve"> </w:t>
            </w:r>
            <w:r>
              <w:t xml:space="preserve">национальном режиме:</w:t>
            </w:r>
            <w:r/>
          </w:p>
        </w:tc>
        <w:tc>
          <w:tcPr>
            <w:tcW w:w="5676" w:type="dxa"/>
            <w:textDirection w:val="lrTb"/>
            <w:noWrap w:val="false"/>
          </w:tcPr>
          <w:p>
            <w:pPr>
              <w:pStyle w:val="1073"/>
            </w:pPr>
            <w:r>
              <w:t xml:space="preserve">Национальный режим не предоставляется.</w:t>
            </w:r>
            <w:r/>
          </w:p>
          <w:p>
            <w:pPr>
              <w:pStyle w:val="1073"/>
            </w:pPr>
            <w:r>
              <w:t xml:space="preserve">Установлен режим ограничения закупки иностранной продукции (</w:t>
            </w:r>
            <w:r>
              <w:t xml:space="preserve">или ее части</w:t>
            </w:r>
            <w:r>
              <w:t xml:space="preserve">).</w:t>
            </w:r>
            <w:r/>
          </w:p>
          <w:p>
            <w:pPr>
              <w:pStyle w:val="1103"/>
              <w:keepNext/>
            </w:pPr>
            <w:r/>
            <w:r/>
          </w:p>
          <w:p>
            <w:pPr>
              <w:pStyle w:val="1073"/>
            </w:pPr>
            <w:r>
              <w:t xml:space="preserve">Подробнее в отношении каждой позиции закупаемой продукции указано в Структуре НМЦ (в составе Коммерческого предложения (форма 3) (</w:t>
            </w:r>
            <w:hyperlink w:tooltip="#Прил04_ФормыЗаявки" w:anchor="Прил04_ФормыЗаявки" w:history="1">
              <w:r>
                <w:rPr>
                  <w:rStyle w:val="1097"/>
                </w:rPr>
                <w:t xml:space="preserve">Приложение № 4</w:t>
              </w:r>
            </w:hyperlink>
            <w:r>
              <w:t xml:space="preserve">)).</w:t>
            </w:r>
            <w:r/>
          </w:p>
        </w:tc>
      </w:tr>
      <w:tr>
        <w:tblPrEx/>
        <w:trPr/>
        <w:tc>
          <w:tcPr>
            <w:tcW w:w="846" w:type="dxa"/>
            <w:textDirection w:val="lrTb"/>
            <w:noWrap w:val="false"/>
          </w:tcPr>
          <w:p>
            <w:pPr>
              <w:pStyle w:val="1069"/>
            </w:pPr>
            <w:r/>
            <w:bookmarkStart w:id="23" w:name="_Ref125475086"/>
            <w:r/>
            <w:bookmarkEnd w:id="23"/>
            <w:r/>
            <w:r/>
          </w:p>
        </w:tc>
        <w:tc>
          <w:tcPr>
            <w:tcW w:w="3232" w:type="dxa"/>
            <w:textDirection w:val="lrTb"/>
            <w:noWrap w:val="false"/>
          </w:tcPr>
          <w:p>
            <w:pPr>
              <w:pStyle w:val="1073"/>
              <w:jc w:val="left"/>
            </w:pPr>
            <w:r>
              <w:t xml:space="preserve">Место</w:t>
            </w:r>
            <w:r>
              <w:t xml:space="preserve"> и порядок </w:t>
            </w:r>
            <w:r>
              <w:t xml:space="preserve">подачи</w:t>
            </w:r>
            <w:r>
              <w:t xml:space="preserve"> </w:t>
            </w:r>
            <w:r>
              <w:t xml:space="preserve">заявок</w:t>
            </w:r>
            <w:r>
              <w:t xml:space="preserve">:</w:t>
            </w:r>
            <w:r/>
          </w:p>
        </w:tc>
        <w:tc>
          <w:tcPr>
            <w:tcW w:w="5676" w:type="dxa"/>
            <w:textDirection w:val="lrTb"/>
            <w:noWrap w:val="false"/>
          </w:tcPr>
          <w:p>
            <w:pPr>
              <w:pStyle w:val="1073"/>
            </w:pPr>
            <w:r>
              <w:t xml:space="preserve">Заявки подаются</w:t>
            </w:r>
            <w:r>
              <w:t xml:space="preserve"> посредством функционала ЭП,</w:t>
            </w:r>
            <w:r>
              <w:t xml:space="preserve"> </w:t>
            </w:r>
            <w:r>
              <w:t xml:space="preserve">по адресу ЭП, указанному в</w:t>
            </w:r>
            <w:r>
              <w:t xml:space="preserve"> </w:t>
            </w:r>
            <w:r>
              <w:t xml:space="preserve">пункте</w:t>
            </w:r>
            <w:r>
              <w:t xml:space="preserve"> </w:t>
            </w:r>
            <w:r>
              <w:fldChar w:fldCharType="begin"/>
            </w:r>
            <w:r>
              <w:instrText xml:space="preserve"> REF _Ref125360764 \r \h </w:instrText>
            </w:r>
            <w:r>
              <w:instrText xml:space="preserve"> \* MERGEFORMAT </w:instrText>
            </w:r>
            <w:r>
              <w:fldChar w:fldCharType="separate"/>
            </w:r>
            <w:r>
              <w:t xml:space="preserve">1.2.5</w:t>
            </w:r>
            <w:r>
              <w:fldChar w:fldCharType="end"/>
            </w:r>
            <w:r>
              <w:t xml:space="preserve">.</w:t>
            </w:r>
            <w:r/>
          </w:p>
        </w:tc>
      </w:tr>
      <w:tr>
        <w:tblPrEx/>
        <w:trPr/>
        <w:tc>
          <w:tcPr>
            <w:tcW w:w="846" w:type="dxa"/>
            <w:textDirection w:val="lrTb"/>
            <w:noWrap w:val="false"/>
          </w:tcPr>
          <w:p>
            <w:pPr>
              <w:pStyle w:val="1069"/>
            </w:pPr>
            <w:r/>
            <w:bookmarkStart w:id="24" w:name="_Ref125360779"/>
            <w:r/>
            <w:bookmarkEnd w:id="24"/>
            <w:r/>
            <w:r/>
          </w:p>
        </w:tc>
        <w:tc>
          <w:tcPr>
            <w:tcW w:w="3232" w:type="dxa"/>
            <w:textDirection w:val="lrTb"/>
            <w:noWrap w:val="false"/>
          </w:tcPr>
          <w:p>
            <w:pPr>
              <w:pStyle w:val="1073"/>
              <w:jc w:val="left"/>
            </w:pPr>
            <w:r>
              <w:t xml:space="preserve">Дата начала</w:t>
            </w:r>
            <w:r>
              <w:t xml:space="preserve">;</w:t>
            </w:r>
            <w:r>
              <w:t xml:space="preserve"> дата и время окончания срока подачи заявок</w:t>
            </w:r>
            <w:r>
              <w:t xml:space="preserve">:</w:t>
            </w:r>
            <w:r/>
          </w:p>
        </w:tc>
        <w:tc>
          <w:tcPr>
            <w:tcW w:w="5676" w:type="dxa"/>
            <w:textDirection w:val="lrTb"/>
            <w:noWrap w:val="false"/>
          </w:tcPr>
          <w:p>
            <w:pPr>
              <w:pStyle w:val="1073"/>
            </w:pPr>
            <w:r>
              <w:t xml:space="preserve">Дата начала подачи заявок:</w:t>
            </w:r>
            <w:r/>
          </w:p>
          <w:p>
            <w:pPr>
              <w:pStyle w:val="1073"/>
            </w:pPr>
            <w:r>
              <w:t xml:space="preserve">«04»</w:t>
            </w:r>
            <w:r>
              <w:t xml:space="preserve"> сентября</w:t>
            </w:r>
            <w:r>
              <w:t xml:space="preserve"> 2026_ г.</w:t>
            </w:r>
            <w:r/>
          </w:p>
          <w:p>
            <w:pPr>
              <w:pStyle w:val="1073"/>
            </w:pPr>
            <w:r>
              <w:t xml:space="preserve">Дата и время окончания срока подачи заявок:</w:t>
            </w:r>
            <w:r/>
          </w:p>
          <w:p>
            <w:pPr>
              <w:pStyle w:val="1073"/>
            </w:pPr>
            <w:r>
              <w:t xml:space="preserve">«14»</w:t>
            </w:r>
            <w:r>
              <w:t xml:space="preserve"> сентября</w:t>
            </w:r>
            <w:r>
              <w:t xml:space="preserve"> 2026 г. в 16 ч. 00 мин.</w:t>
            </w:r>
            <w:r/>
          </w:p>
          <w:p>
            <w:pPr>
              <w:pStyle w:val="1073"/>
            </w:pPr>
            <w:r>
              <w:t xml:space="preserve">(по местному времени Организатора).</w:t>
            </w:r>
            <w:r/>
          </w:p>
        </w:tc>
      </w:tr>
      <w:tr>
        <w:tblPrEx/>
        <w:trPr/>
        <w:tc>
          <w:tcPr>
            <w:tcW w:w="846" w:type="dxa"/>
            <w:textDirection w:val="lrTb"/>
            <w:noWrap w:val="false"/>
          </w:tcPr>
          <w:p>
            <w:pPr>
              <w:pStyle w:val="1069"/>
            </w:pPr>
            <w:r/>
            <w:r/>
          </w:p>
        </w:tc>
        <w:tc>
          <w:tcPr>
            <w:tcW w:w="3232" w:type="dxa"/>
            <w:textDirection w:val="lrTb"/>
            <w:noWrap w:val="false"/>
          </w:tcPr>
          <w:p>
            <w:pPr>
              <w:pStyle w:val="1073"/>
              <w:jc w:val="left"/>
            </w:pPr>
            <w:r>
              <w:t xml:space="preserve">Срок предоставления Участникам разъяснений Документации о</w:t>
            </w:r>
            <w:r>
              <w:t xml:space="preserve"> </w:t>
            </w:r>
            <w:r>
              <w:t xml:space="preserve">закупке</w:t>
            </w:r>
            <w:r>
              <w:t xml:space="preserve">:</w:t>
            </w:r>
            <w:r/>
          </w:p>
        </w:tc>
        <w:tc>
          <w:tcPr>
            <w:tcW w:w="5676" w:type="dxa"/>
            <w:textDirection w:val="lrTb"/>
            <w:noWrap w:val="false"/>
          </w:tcPr>
          <w:p>
            <w:pPr>
              <w:pStyle w:val="1073"/>
            </w:pPr>
            <w:r>
              <w:t xml:space="preserve">Дата и время окончания срока предоставления разъяснений:</w:t>
            </w:r>
            <w:r/>
          </w:p>
          <w:p>
            <w:pPr>
              <w:pStyle w:val="1073"/>
            </w:pPr>
            <w:r>
              <w:t xml:space="preserve">«14» сентября 2026 г. в16 ч.00 мин.</w:t>
            </w:r>
            <w:r/>
          </w:p>
          <w:p>
            <w:pPr>
              <w:pStyle w:val="1073"/>
            </w:pPr>
            <w:r>
              <w:t xml:space="preserve">(по местному времени Организатора).</w:t>
            </w:r>
            <w:r/>
          </w:p>
          <w:p>
            <w:pPr>
              <w:pStyle w:val="1103"/>
            </w:pPr>
            <w:r/>
            <w:r/>
          </w:p>
          <w:p>
            <w:pPr>
              <w:pStyle w:val="1073"/>
            </w:pPr>
            <w:r>
              <w:t xml:space="preserve">Организатор вправе не предоставлять разъяснение, если запрос от Участника поступил позднее чем за 3 (три) рабочих дня до</w:t>
            </w:r>
            <w:r>
              <w:t xml:space="preserve"> </w:t>
            </w:r>
            <w:r>
              <w:t xml:space="preserve">даты окончания срока подачи заявок, установленной в</w:t>
            </w:r>
            <w:r>
              <w:t xml:space="preserve"> </w:t>
            </w:r>
            <w:r>
              <w:t xml:space="preserve">пункте </w:t>
            </w:r>
            <w:r>
              <w:fldChar w:fldCharType="begin"/>
            </w:r>
            <w:r>
              <w:instrText xml:space="preserve"> REF _Ref125360779 \r \h  \* MERGEFORMAT </w:instrText>
            </w:r>
            <w:r>
              <w:fldChar w:fldCharType="separate"/>
            </w:r>
            <w:r>
              <w:t xml:space="preserve">1.2.17</w:t>
            </w:r>
            <w:r>
              <w:fldChar w:fldCharType="end"/>
            </w:r>
            <w:r>
              <w:t xml:space="preserve">.</w:t>
            </w:r>
            <w:r/>
          </w:p>
        </w:tc>
      </w:tr>
      <w:tr>
        <w:tblPrEx/>
        <w:trPr/>
        <w:tc>
          <w:tcPr>
            <w:tcW w:w="846" w:type="dxa"/>
            <w:textDirection w:val="lrTb"/>
            <w:noWrap w:val="false"/>
          </w:tcPr>
          <w:p>
            <w:pPr>
              <w:pStyle w:val="1069"/>
            </w:pPr>
            <w:r/>
            <w:bookmarkStart w:id="25" w:name="_Ref125476197"/>
            <w:r/>
            <w:bookmarkEnd w:id="25"/>
            <w:r/>
            <w:r/>
          </w:p>
        </w:tc>
        <w:tc>
          <w:tcPr>
            <w:tcW w:w="3232" w:type="dxa"/>
            <w:textDirection w:val="lrTb"/>
            <w:noWrap w:val="false"/>
          </w:tcPr>
          <w:p>
            <w:pPr>
              <w:pStyle w:val="1073"/>
              <w:jc w:val="left"/>
            </w:pPr>
            <w:r>
              <w:t xml:space="preserve">Место </w:t>
            </w:r>
            <w:r>
              <w:t xml:space="preserve">открытия</w:t>
            </w:r>
            <w:r>
              <w:br/>
            </w:r>
            <w:r>
              <w:t xml:space="preserve">доступа</w:t>
            </w:r>
            <w:r>
              <w:t xml:space="preserve"> </w:t>
            </w:r>
            <w:r>
              <w:t xml:space="preserve">к</w:t>
            </w:r>
            <w:r>
              <w:t xml:space="preserve"> </w:t>
            </w:r>
            <w:r>
              <w:t xml:space="preserve">заявкам</w:t>
            </w:r>
            <w:r>
              <w:t xml:space="preserve">:</w:t>
            </w:r>
            <w:r/>
          </w:p>
        </w:tc>
        <w:tc>
          <w:tcPr>
            <w:tcW w:w="5676" w:type="dxa"/>
            <w:textDirection w:val="lrTb"/>
            <w:noWrap w:val="false"/>
          </w:tcPr>
          <w:p>
            <w:pPr>
              <w:pStyle w:val="1073"/>
            </w:pPr>
            <w:r>
              <w:t xml:space="preserve">Открытие доступа к заявкам осуществляется</w:t>
            </w:r>
            <w:r>
              <w:t xml:space="preserve"> автоматически на ЭП, расположенной по адресу согласно пункту</w:t>
            </w:r>
            <w:r>
              <w:t xml:space="preserve"> </w:t>
            </w:r>
            <w:r>
              <w:fldChar w:fldCharType="begin"/>
            </w:r>
            <w:r>
              <w:instrText xml:space="preserve"> REF _Ref125360764 \r \h </w:instrText>
            </w:r>
            <w:r>
              <w:instrText xml:space="preserve"> \* MERGEFORMAT </w:instrText>
            </w:r>
            <w:r>
              <w:fldChar w:fldCharType="separate"/>
            </w:r>
            <w:r>
              <w:t xml:space="preserve">1.2.5</w:t>
            </w:r>
            <w:r>
              <w:fldChar w:fldCharType="end"/>
            </w:r>
            <w:r>
              <w:t xml:space="preserve">.</w:t>
            </w:r>
            <w:r/>
          </w:p>
        </w:tc>
      </w:tr>
      <w:tr>
        <w:tblPrEx/>
        <w:trPr/>
        <w:tc>
          <w:tcPr>
            <w:tcW w:w="846" w:type="dxa"/>
            <w:textDirection w:val="lrTb"/>
            <w:noWrap w:val="false"/>
          </w:tcPr>
          <w:p>
            <w:pPr>
              <w:pStyle w:val="1069"/>
            </w:pPr>
            <w:r/>
            <w:bookmarkStart w:id="26" w:name="_Ref125362733"/>
            <w:r/>
            <w:bookmarkEnd w:id="26"/>
            <w:r/>
            <w:r/>
          </w:p>
        </w:tc>
        <w:tc>
          <w:tcPr>
            <w:tcW w:w="3232" w:type="dxa"/>
            <w:textDirection w:val="lrTb"/>
            <w:noWrap w:val="false"/>
          </w:tcPr>
          <w:p>
            <w:pPr>
              <w:pStyle w:val="1073"/>
              <w:jc w:val="left"/>
            </w:pPr>
            <w:r>
              <w:t xml:space="preserve">Дата </w:t>
            </w:r>
            <w:r>
              <w:t xml:space="preserve">окончания </w:t>
            </w:r>
            <w:r>
              <w:t xml:space="preserve">рассмотрения заявок</w:t>
            </w:r>
            <w:r>
              <w:t xml:space="preserve">:</w:t>
            </w:r>
            <w:r/>
          </w:p>
        </w:tc>
        <w:tc>
          <w:tcPr>
            <w:tcW w:w="5676" w:type="dxa"/>
            <w:textDirection w:val="lrTb"/>
            <w:noWrap w:val="false"/>
          </w:tcPr>
          <w:p>
            <w:pPr>
              <w:pStyle w:val="1073"/>
            </w:pPr>
            <w:r>
              <w:t xml:space="preserve">«23» сентября 2026 г.</w:t>
            </w:r>
            <w:r/>
          </w:p>
        </w:tc>
      </w:tr>
      <w:tr>
        <w:tblPrEx/>
        <w:trPr/>
        <w:tc>
          <w:tcPr>
            <w:tcW w:w="846" w:type="dxa"/>
            <w:textDirection w:val="lrTb"/>
            <w:noWrap w:val="false"/>
          </w:tcPr>
          <w:p>
            <w:pPr>
              <w:pStyle w:val="1069"/>
            </w:pPr>
            <w:r/>
            <w:bookmarkStart w:id="27" w:name="_Ref125362757"/>
            <w:r/>
            <w:bookmarkEnd w:id="27"/>
            <w:r/>
            <w:r/>
          </w:p>
        </w:tc>
        <w:tc>
          <w:tcPr>
            <w:tcW w:w="3232" w:type="dxa"/>
            <w:textDirection w:val="lrTb"/>
            <w:noWrap w:val="false"/>
          </w:tcPr>
          <w:p>
            <w:pPr>
              <w:pStyle w:val="1073"/>
              <w:jc w:val="left"/>
            </w:pPr>
            <w:r>
              <w:t xml:space="preserve">Дата подведения</w:t>
            </w:r>
            <w:r>
              <w:br/>
            </w:r>
            <w:r>
              <w:t xml:space="preserve">итогов</w:t>
            </w:r>
            <w:r>
              <w:t xml:space="preserve"> </w:t>
            </w:r>
            <w:r>
              <w:t xml:space="preserve">закупки</w:t>
            </w:r>
            <w:r>
              <w:t xml:space="preserve">:</w:t>
            </w:r>
            <w:r/>
          </w:p>
        </w:tc>
        <w:tc>
          <w:tcPr>
            <w:tcW w:w="5676" w:type="dxa"/>
            <w:textDirection w:val="lrTb"/>
            <w:noWrap w:val="false"/>
          </w:tcPr>
          <w:p>
            <w:pPr>
              <w:pStyle w:val="1073"/>
            </w:pPr>
            <w:r>
              <w:t xml:space="preserve">«23» сентября 2026 г.</w:t>
            </w:r>
            <w:r/>
          </w:p>
        </w:tc>
      </w:tr>
      <w:tr>
        <w:tblPrEx/>
        <w:trPr/>
        <w:tc>
          <w:tcPr>
            <w:tcW w:w="846" w:type="dxa"/>
            <w:textDirection w:val="lrTb"/>
            <w:noWrap w:val="false"/>
          </w:tcPr>
          <w:p>
            <w:pPr>
              <w:pStyle w:val="1069"/>
            </w:pPr>
            <w:r/>
            <w:bookmarkStart w:id="28" w:name="_Ref125366047"/>
            <w:r/>
            <w:bookmarkEnd w:id="28"/>
            <w:r/>
            <w:r/>
          </w:p>
        </w:tc>
        <w:tc>
          <w:tcPr>
            <w:tcW w:w="3232" w:type="dxa"/>
            <w:textDirection w:val="lrTb"/>
            <w:noWrap w:val="false"/>
          </w:tcPr>
          <w:p>
            <w:pPr>
              <w:pStyle w:val="1073"/>
              <w:jc w:val="left"/>
            </w:pPr>
            <w:r>
              <w:t xml:space="preserve">Преференция продукции, изготовленной с</w:t>
            </w:r>
            <w:r>
              <w:t xml:space="preserve"> </w:t>
            </w:r>
            <w:r>
              <w:t xml:space="preserve">использованием российского алюминия </w:t>
            </w:r>
            <w:r>
              <w:t xml:space="preserve">и</w:t>
            </w:r>
            <w:r>
              <w:t xml:space="preserve"> (</w:t>
            </w:r>
            <w:r>
              <w:t xml:space="preserve">или</w:t>
            </w:r>
            <w:r>
              <w:t xml:space="preserve">)</w:t>
            </w:r>
            <w:r>
              <w:t xml:space="preserve"> алюминиевых полуфабрикатов</w:t>
            </w:r>
            <w:r>
              <w:t xml:space="preserve">:</w:t>
            </w:r>
            <w:r/>
          </w:p>
        </w:tc>
        <w:tc>
          <w:tcPr>
            <w:tcW w:w="5676" w:type="dxa"/>
            <w:textDirection w:val="lrTb"/>
            <w:noWrap w:val="false"/>
          </w:tcPr>
          <w:p>
            <w:pPr>
              <w:pStyle w:val="1073"/>
            </w:pPr>
            <w:r>
              <w:t xml:space="preserve">Не предоставляется</w:t>
            </w:r>
            <w:r>
              <w:t xml:space="preserve">.</w:t>
            </w:r>
            <w:r/>
          </w:p>
        </w:tc>
      </w:tr>
      <w:tr>
        <w:tblPrEx/>
        <w:trPr/>
        <w:tc>
          <w:tcPr>
            <w:tcW w:w="846" w:type="dxa"/>
            <w:textDirection w:val="lrTb"/>
            <w:noWrap w:val="false"/>
          </w:tcPr>
          <w:p>
            <w:pPr>
              <w:pStyle w:val="1069"/>
            </w:pPr>
            <w:r/>
            <w:bookmarkStart w:id="29" w:name="_Ref125361769"/>
            <w:r/>
            <w:bookmarkEnd w:id="29"/>
            <w:r/>
            <w:r/>
          </w:p>
        </w:tc>
        <w:tc>
          <w:tcPr>
            <w:tcW w:w="3232" w:type="dxa"/>
            <w:textDirection w:val="lrTb"/>
            <w:noWrap w:val="false"/>
          </w:tcPr>
          <w:p>
            <w:pPr>
              <w:pStyle w:val="1073"/>
              <w:jc w:val="left"/>
            </w:pPr>
            <w:r>
              <w:t xml:space="preserve">Рассмотрение</w:t>
            </w:r>
            <w:r>
              <w:t xml:space="preserve">,</w:t>
            </w:r>
            <w:r>
              <w:t xml:space="preserve"> оценка</w:t>
            </w:r>
            <w:r>
              <w:t xml:space="preserve"> и сопоставление</w:t>
            </w:r>
            <w:r>
              <w:t xml:space="preserve"> заявок Участников с</w:t>
            </w:r>
            <w:r>
              <w:t xml:space="preserve"> </w:t>
            </w:r>
            <w:r>
              <w:t xml:space="preserve">учетом привлекаемых субподрядчиков</w:t>
            </w:r>
            <w:r>
              <w:t xml:space="preserve">:</w:t>
            </w:r>
            <w:r/>
          </w:p>
        </w:tc>
        <w:tc>
          <w:tcPr>
            <w:tcW w:w="5676" w:type="dxa"/>
            <w:textDirection w:val="lrTb"/>
            <w:noWrap w:val="false"/>
          </w:tcPr>
          <w:p>
            <w:pPr>
              <w:pStyle w:val="1073"/>
            </w:pPr>
            <w:r>
              <w:t xml:space="preserve">Не предусмотрено.</w:t>
            </w:r>
            <w:r/>
          </w:p>
        </w:tc>
      </w:tr>
      <w:tr>
        <w:tblPrEx/>
        <w:trPr/>
        <w:tc>
          <w:tcPr>
            <w:tcW w:w="846" w:type="dxa"/>
            <w:textDirection w:val="lrTb"/>
            <w:noWrap w:val="false"/>
          </w:tcPr>
          <w:p>
            <w:pPr>
              <w:pStyle w:val="1069"/>
            </w:pPr>
            <w:r/>
            <w:r/>
          </w:p>
        </w:tc>
        <w:tc>
          <w:tcPr>
            <w:tcW w:w="3232" w:type="dxa"/>
            <w:textDirection w:val="lrTb"/>
            <w:noWrap w:val="false"/>
          </w:tcPr>
          <w:p>
            <w:pPr>
              <w:pStyle w:val="1073"/>
              <w:jc w:val="left"/>
            </w:pPr>
            <w:r>
              <w:t xml:space="preserve">Порядок подведения</w:t>
            </w:r>
            <w:r>
              <w:br/>
            </w:r>
            <w:r>
              <w:t xml:space="preserve">итогов закупки:</w:t>
            </w:r>
            <w:r/>
          </w:p>
        </w:tc>
        <w:tc>
          <w:tcPr>
            <w:tcW w:w="5676" w:type="dxa"/>
            <w:textDirection w:val="lrTb"/>
            <w:noWrap w:val="false"/>
          </w:tcPr>
          <w:p>
            <w:pPr>
              <w:pStyle w:val="1073"/>
            </w:pPr>
            <w:r>
              <w:t xml:space="preserve">Победителем закупки признается Участник, заявка которого соответствует требованиям Документации о</w:t>
            </w:r>
            <w:r>
              <w:t xml:space="preserve"> </w:t>
            </w:r>
            <w:r>
              <w:t xml:space="preserve">закупке и который предложил наиболее низкую цену </w:t>
            </w:r>
            <w:r>
              <w:t xml:space="preserve">Д</w:t>
            </w:r>
            <w:r>
              <w:t xml:space="preserve">оговора (</w:t>
            </w:r>
            <w:r>
              <w:t xml:space="preserve">стоимость</w:t>
            </w:r>
            <w:r>
              <w:t xml:space="preserve"> заявки).</w:t>
            </w:r>
            <w:r/>
          </w:p>
        </w:tc>
      </w:tr>
      <w:tr>
        <w:tblPrEx/>
        <w:trPr/>
        <w:tc>
          <w:tcPr>
            <w:tcW w:w="846" w:type="dxa"/>
            <w:textDirection w:val="lrTb"/>
            <w:noWrap w:val="false"/>
          </w:tcPr>
          <w:p>
            <w:pPr>
              <w:pStyle w:val="1069"/>
            </w:pPr>
            <w:r/>
            <w:bookmarkStart w:id="30" w:name="_Ref125366606"/>
            <w:r/>
            <w:bookmarkEnd w:id="30"/>
            <w:r/>
            <w:r/>
          </w:p>
        </w:tc>
        <w:tc>
          <w:tcPr>
            <w:tcW w:w="3232" w:type="dxa"/>
            <w:textDirection w:val="lrTb"/>
            <w:noWrap w:val="false"/>
          </w:tcPr>
          <w:p>
            <w:pPr>
              <w:pStyle w:val="1073"/>
              <w:jc w:val="left"/>
            </w:pPr>
            <w:r>
              <w:t xml:space="preserve">Количество победителей закупки (в рамках одного лота)</w:t>
            </w:r>
            <w:r>
              <w:t xml:space="preserve">:</w:t>
            </w:r>
            <w:r/>
          </w:p>
        </w:tc>
        <w:tc>
          <w:tcPr>
            <w:tcW w:w="5676" w:type="dxa"/>
            <w:textDirection w:val="lrTb"/>
            <w:noWrap w:val="false"/>
          </w:tcPr>
          <w:p>
            <w:pPr>
              <w:pStyle w:val="1073"/>
            </w:pPr>
            <w:r>
              <w:t xml:space="preserve">Один победитель.</w:t>
            </w:r>
            <w:r/>
          </w:p>
        </w:tc>
      </w:tr>
      <w:tr>
        <w:tblPrEx/>
        <w:trPr/>
        <w:tc>
          <w:tcPr>
            <w:tcW w:w="846" w:type="dxa"/>
            <w:textDirection w:val="lrTb"/>
            <w:noWrap w:val="false"/>
          </w:tcPr>
          <w:p>
            <w:pPr>
              <w:pStyle w:val="1069"/>
            </w:pPr>
            <w:r/>
            <w:bookmarkStart w:id="31" w:name="_Ref125366813"/>
            <w:r/>
            <w:bookmarkEnd w:id="31"/>
            <w:r/>
            <w:r/>
          </w:p>
        </w:tc>
        <w:tc>
          <w:tcPr>
            <w:tcW w:w="3232" w:type="dxa"/>
            <w:textDirection w:val="lrTb"/>
            <w:noWrap w:val="false"/>
          </w:tcPr>
          <w:p>
            <w:pPr>
              <w:pStyle w:val="1073"/>
              <w:jc w:val="left"/>
            </w:pPr>
            <w:r>
              <w:t xml:space="preserve">Место подачи документов в</w:t>
            </w:r>
            <w:r>
              <w:t xml:space="preserve"> </w:t>
            </w:r>
            <w:r>
              <w:t xml:space="preserve">отношении цепочки собственников, включая конечных бенефициаров</w:t>
            </w:r>
            <w:r>
              <w:t xml:space="preserve">:</w:t>
            </w:r>
            <w:r/>
          </w:p>
        </w:tc>
        <w:tc>
          <w:tcPr>
            <w:tcW w:w="5676" w:type="dxa"/>
            <w:textDirection w:val="lrTb"/>
            <w:noWrap w:val="false"/>
          </w:tcPr>
          <w:p>
            <w:pPr>
              <w:pStyle w:val="1118"/>
              <w:contextualSpacing/>
              <w:spacing w:after="120"/>
              <w:rPr>
                <w:rFonts w:ascii="Times New Roman" w:hAnsi="Times New Roman" w:eastAsia="Times New Roman" w:cs="Times New Roman"/>
                <w:b w:val="0"/>
                <w:bCs w:val="0"/>
                <w:sz w:val="26"/>
                <w:szCs w:val="26"/>
                <w:highlight w:val="none"/>
              </w:rPr>
            </w:pPr>
            <w:r>
              <w:rPr>
                <w:rFonts w:ascii="Times New Roman" w:hAnsi="Times New Roman" w:eastAsia="Times New Roman" w:cs="Times New Roman"/>
                <w:b w:val="0"/>
                <w:sz w:val="26"/>
                <w:szCs w:val="26"/>
              </w:rPr>
              <w:t xml:space="preserve">Почтовый адрес</w:t>
            </w:r>
            <w:r>
              <w:rPr>
                <w:rFonts w:ascii="Times New Roman" w:hAnsi="Times New Roman" w:eastAsia="Times New Roman" w:cs="Times New Roman"/>
                <w:b w:val="0"/>
                <w:sz w:val="26"/>
                <w:szCs w:val="26"/>
              </w:rPr>
              <w:t xml:space="preserve">: </w:t>
            </w:r>
            <w:r>
              <w:rPr>
                <w:rFonts w:ascii="Times New Roman" w:hAnsi="Times New Roman" w:eastAsia="Times New Roman" w:cs="Times New Roman"/>
                <w:b w:val="0"/>
                <w:sz w:val="26"/>
                <w:szCs w:val="26"/>
              </w:rPr>
              <w:t xml:space="preserve">680000, г. Хабаровск, ул. Фрунзе, 49</w:t>
            </w:r>
            <w:r>
              <w:rPr>
                <w:rFonts w:ascii="Times New Roman" w:hAnsi="Times New Roman" w:eastAsia="Times New Roman" w:cs="Times New Roman"/>
                <w:b w:val="0"/>
                <w:bCs w:val="0"/>
                <w:sz w:val="26"/>
                <w:szCs w:val="26"/>
                <w:highlight w:val="none"/>
              </w:rPr>
            </w:r>
            <w:r>
              <w:rPr>
                <w:rFonts w:ascii="Times New Roman" w:hAnsi="Times New Roman" w:eastAsia="Times New Roman" w:cs="Times New Roman"/>
                <w:b w:val="0"/>
                <w:bCs w:val="0"/>
                <w:sz w:val="26"/>
                <w:szCs w:val="26"/>
                <w:highlight w:val="none"/>
              </w:rPr>
            </w:r>
          </w:p>
          <w:p>
            <w:pPr>
              <w:pStyle w:val="1118"/>
              <w:contextualSpacing/>
              <w:spacing w:after="120"/>
              <w:rPr>
                <w:rFonts w:ascii="Times New Roman" w:hAnsi="Times New Roman" w:cs="Times New Roman"/>
                <w:b w:val="0"/>
                <w:bCs w:val="0"/>
                <w:sz w:val="26"/>
                <w:szCs w:val="26"/>
                <w:highlight w:val="none"/>
              </w:rPr>
            </w:pPr>
            <w:r>
              <w:rPr>
                <w:rFonts w:ascii="Times New Roman" w:hAnsi="Times New Roman" w:cs="Times New Roman"/>
                <w:b w:val="0"/>
                <w:bCs w:val="0"/>
                <w:sz w:val="26"/>
                <w:szCs w:val="26"/>
              </w:rPr>
              <w:t xml:space="preserve">Канцелярия АО «ДГК»</w:t>
            </w:r>
            <w:r>
              <w:rPr>
                <w:rFonts w:ascii="Times New Roman" w:hAnsi="Times New Roman" w:cs="Times New Roman"/>
                <w:b w:val="0"/>
                <w:bCs w:val="0"/>
                <w:sz w:val="26"/>
                <w:szCs w:val="26"/>
                <w:highlight w:val="none"/>
              </w:rPr>
            </w:r>
            <w:r>
              <w:rPr>
                <w:rFonts w:ascii="Times New Roman" w:hAnsi="Times New Roman" w:cs="Times New Roman"/>
                <w:b w:val="0"/>
                <w:bCs w:val="0"/>
                <w:sz w:val="26"/>
                <w:szCs w:val="26"/>
                <w:highlight w:val="none"/>
              </w:rPr>
            </w:r>
          </w:p>
          <w:p>
            <w:pPr>
              <w:pStyle w:val="1118"/>
              <w:contextualSpacing/>
              <w:spacing w:after="120"/>
              <w:rPr>
                <w:b w:val="0"/>
                <w:bCs w:val="0"/>
                <w:sz w:val="26"/>
                <w:szCs w:val="26"/>
                <w:shd w:val="clear" w:color="auto" w:fill="auto"/>
              </w:rPr>
            </w:pPr>
            <w:r>
              <w:rPr>
                <w:rFonts w:ascii="Times New Roman" w:hAnsi="Times New Roman" w:eastAsia="Times New Roman" w:cs="Times New Roman"/>
                <w:b w:val="0"/>
                <w:sz w:val="26"/>
                <w:szCs w:val="26"/>
              </w:rPr>
              <w:t xml:space="preserve">Контактный телефон: (4212) 26-</w:t>
            </w:r>
            <w:r>
              <w:rPr>
                <w:rFonts w:ascii="Times New Roman" w:hAnsi="Times New Roman" w:eastAsia="Times New Roman" w:cs="Times New Roman"/>
                <w:b w:val="0"/>
                <w:sz w:val="26"/>
                <w:szCs w:val="26"/>
              </w:rPr>
              <w:t xml:space="preserve">42-43</w:t>
            </w:r>
            <w:r>
              <w:rPr>
                <w:b w:val="0"/>
                <w:sz w:val="26"/>
                <w:szCs w:val="26"/>
              </w:rPr>
              <w:t xml:space="preserve"> </w:t>
            </w:r>
            <w:r>
              <w:rPr>
                <w:b w:val="0"/>
                <w:sz w:val="26"/>
                <w:szCs w:val="26"/>
              </w:rPr>
              <w:t xml:space="preserve">для </w:t>
            </w:r>
            <w:r>
              <w:rPr>
                <w:b w:val="0"/>
                <w:bCs w:val="0"/>
                <w:sz w:val="26"/>
                <w:szCs w:val="26"/>
                <w:shd w:val="clear" w:color="auto" w:fill="auto"/>
              </w:rPr>
            </w:r>
            <w:r>
              <w:rPr>
                <w:b w:val="0"/>
                <w:bCs w:val="0"/>
                <w:sz w:val="26"/>
                <w:szCs w:val="26"/>
                <w:shd w:val="clear" w:color="auto" w:fill="auto"/>
              </w:rPr>
            </w:r>
          </w:p>
          <w:p>
            <w:pPr>
              <w:pStyle w:val="1118"/>
              <w:contextualSpacing/>
              <w:spacing w:after="120"/>
              <w:rPr>
                <w:rFonts w:ascii="Times New Roman" w:hAnsi="Times New Roman" w:cs="Times New Roman"/>
                <w:bCs w:val="0"/>
                <w:i w:val="0"/>
                <w:sz w:val="26"/>
                <w:szCs w:val="26"/>
              </w:rPr>
            </w:pPr>
            <w:r>
              <w:rPr>
                <w:b w:val="0"/>
                <w:sz w:val="26"/>
                <w:szCs w:val="26"/>
              </w:rPr>
              <w:t xml:space="preserve">Хохлова О.В.</w:t>
            </w:r>
            <w:r>
              <w:rPr>
                <w:rFonts w:ascii="Times New Roman" w:hAnsi="Times New Roman" w:cs="Times New Roman"/>
                <w:bCs w:val="0"/>
                <w:i w:val="0"/>
                <w:sz w:val="26"/>
                <w:szCs w:val="26"/>
              </w:rPr>
            </w:r>
            <w:r>
              <w:rPr>
                <w:rFonts w:ascii="Times New Roman" w:hAnsi="Times New Roman" w:cs="Times New Roman"/>
                <w:bCs w:val="0"/>
                <w:i w:val="0"/>
                <w:sz w:val="26"/>
                <w:szCs w:val="26"/>
              </w:rPr>
            </w:r>
          </w:p>
          <w:p>
            <w:pPr>
              <w:pStyle w:val="1118"/>
              <w:contextualSpacing/>
              <w:rPr>
                <w:b w:val="0"/>
                <w:sz w:val="26"/>
                <w:szCs w:val="26"/>
              </w:rPr>
            </w:pPr>
            <w:r>
              <w:rPr>
                <w:b w:val="0"/>
                <w:sz w:val="26"/>
                <w:szCs w:val="26"/>
              </w:rPr>
              <w:t xml:space="preserve">Адрес электронной почты: </w:t>
            </w:r>
            <w:hyperlink r:id="rId18" w:tooltip="http://motina-sv@dgk.ru" w:history="1">
              <w:r>
                <w:rPr>
                  <w:rStyle w:val="1083"/>
                  <w:b w:val="0"/>
                  <w:sz w:val="26"/>
                  <w:szCs w:val="26"/>
                </w:rPr>
                <w:t xml:space="preserve">khokhlov-ov@dgk.ru</w:t>
              </w:r>
            </w:hyperlink>
            <w:r>
              <w:rPr>
                <w:b w:val="0"/>
                <w:sz w:val="26"/>
                <w:szCs w:val="26"/>
              </w:rPr>
              <w:t xml:space="preserve"> </w:t>
            </w:r>
            <w:r>
              <w:rPr>
                <w:b w:val="0"/>
                <w:sz w:val="26"/>
                <w:szCs w:val="26"/>
              </w:rPr>
              <w:t xml:space="preserve"> </w:t>
            </w:r>
            <w:r>
              <w:rPr>
                <w:b w:val="0"/>
                <w:sz w:val="26"/>
                <w:szCs w:val="26"/>
              </w:rPr>
              <w:t xml:space="preserve"> </w:t>
            </w:r>
            <w:r>
              <w:rPr>
                <w:b w:val="0"/>
                <w:sz w:val="26"/>
                <w:szCs w:val="26"/>
              </w:rPr>
              <w:t xml:space="preserve">    </w:t>
            </w:r>
            <w:r>
              <w:rPr>
                <w:b w:val="0"/>
                <w:sz w:val="26"/>
                <w:szCs w:val="26"/>
              </w:rPr>
            </w:r>
            <w:r>
              <w:rPr>
                <w:b w:val="0"/>
                <w:sz w:val="26"/>
                <w:szCs w:val="26"/>
              </w:rPr>
            </w:r>
          </w:p>
          <w:p>
            <w:pPr>
              <w:pStyle w:val="1118"/>
              <w:contextualSpacing/>
              <w:spacing w:after="120"/>
              <w:rPr>
                <w:i w:val="0"/>
                <w:sz w:val="26"/>
                <w:szCs w:val="26"/>
                <w:shd w:val="clear" w:color="auto" w:fill="auto"/>
              </w:rPr>
            </w:pPr>
            <w:r>
              <w:rPr>
                <w:b w:val="0"/>
                <w:sz w:val="26"/>
                <w:szCs w:val="26"/>
              </w:rPr>
              <w:t xml:space="preserve">Контактный телефон: (4212) 26-45-88</w:t>
            </w:r>
            <w:r>
              <w:rPr>
                <w:i w:val="0"/>
                <w:sz w:val="26"/>
                <w:szCs w:val="26"/>
                <w:shd w:val="clear" w:color="auto" w:fill="auto"/>
              </w:rPr>
            </w:r>
            <w:r>
              <w:rPr>
                <w:i w:val="0"/>
                <w:sz w:val="26"/>
                <w:szCs w:val="26"/>
                <w:shd w:val="clear" w:color="auto" w:fill="auto"/>
              </w:rPr>
            </w:r>
          </w:p>
          <w:p>
            <w:pPr>
              <w:pStyle w:val="1073"/>
            </w:pPr>
            <w:r/>
            <w:r/>
          </w:p>
          <w:p>
            <w:pPr>
              <w:pStyle w:val="1073"/>
            </w:pPr>
            <w:r>
              <w:t xml:space="preserve">Для подачи документов в электронной форме:</w:t>
            </w:r>
            <w:r/>
          </w:p>
          <w:p>
            <w:pPr>
              <w:pStyle w:val="1073"/>
            </w:pPr>
            <w:r>
              <w:t xml:space="preserve">Корпоративный сайт ПАО</w:t>
            </w:r>
            <w:r>
              <w:rPr>
                <w:lang w:val="en-US"/>
              </w:rPr>
              <w:t xml:space="preserve"> </w:t>
            </w:r>
            <w:r>
              <w:t xml:space="preserve">«РусГидро», через специально созданную учетную запись (подробный порядок содержится в разделе</w:t>
            </w:r>
            <w:r>
              <w:rPr>
                <w:lang w:val="en-US"/>
              </w:rPr>
              <w:t xml:space="preserve"> </w:t>
            </w:r>
            <w:r>
              <w:rPr>
                <w:lang w:val="en-US"/>
              </w:rPr>
              <w:fldChar w:fldCharType="begin"/>
            </w:r>
            <w:r>
              <w:instrText xml:space="preserve"> </w:instrText>
            </w:r>
            <w:r>
              <w:rPr>
                <w:lang w:val="en-US"/>
              </w:rPr>
              <w:instrText xml:space="preserve">REF</w:instrText>
            </w:r>
            <w:r>
              <w:instrText xml:space="preserve"> _</w:instrText>
            </w:r>
            <w:r>
              <w:rPr>
                <w:lang w:val="en-US"/>
              </w:rPr>
              <w:instrText xml:space="preserve">Ref</w:instrText>
            </w:r>
            <w:r>
              <w:instrText xml:space="preserve">126142429 \</w:instrText>
            </w:r>
            <w:r>
              <w:rPr>
                <w:lang w:val="en-US"/>
              </w:rPr>
              <w:instrText xml:space="preserve">r</w:instrText>
            </w:r>
            <w:r>
              <w:instrText xml:space="preserve"> \</w:instrText>
            </w:r>
            <w:r>
              <w:rPr>
                <w:lang w:val="en-US"/>
              </w:rPr>
              <w:instrText xml:space="preserve">h</w:instrText>
            </w:r>
            <w:r>
              <w:instrText xml:space="preserve"> </w:instrText>
            </w:r>
            <w:r>
              <w:rPr>
                <w:lang w:val="en-US"/>
              </w:rPr>
              <w:fldChar w:fldCharType="separate"/>
            </w:r>
            <w:r>
              <w:t xml:space="preserve">5</w:t>
            </w:r>
            <w:r>
              <w:rPr>
                <w:lang w:val="en-US"/>
              </w:rPr>
              <w:fldChar w:fldCharType="end"/>
            </w:r>
            <w:r>
              <w:t xml:space="preserve">).</w:t>
            </w:r>
            <w:r/>
          </w:p>
        </w:tc>
      </w:tr>
      <w:tr>
        <w:tblPrEx/>
        <w:trPr/>
        <w:tc>
          <w:tcPr>
            <w:tcW w:w="846" w:type="dxa"/>
            <w:textDirection w:val="lrTb"/>
            <w:noWrap w:val="false"/>
          </w:tcPr>
          <w:p>
            <w:pPr>
              <w:pStyle w:val="1069"/>
            </w:pPr>
            <w:r/>
            <w:bookmarkStart w:id="32" w:name="_Ref125368490"/>
            <w:r/>
            <w:bookmarkEnd w:id="32"/>
            <w:r/>
            <w:r/>
          </w:p>
        </w:tc>
        <w:tc>
          <w:tcPr>
            <w:tcW w:w="3232" w:type="dxa"/>
            <w:textDirection w:val="lrTb"/>
            <w:noWrap w:val="false"/>
          </w:tcPr>
          <w:p>
            <w:pPr>
              <w:pStyle w:val="1073"/>
              <w:jc w:val="left"/>
            </w:pPr>
            <w:r>
              <w:t xml:space="preserve">Некритичные </w:t>
            </w:r>
            <w:r>
              <w:t xml:space="preserve">пункты</w:t>
            </w:r>
            <w:r>
              <w:t xml:space="preserve"> </w:t>
            </w:r>
            <w:r>
              <w:t xml:space="preserve">П</w:t>
            </w:r>
            <w:r>
              <w:t xml:space="preserve">роекта </w:t>
            </w:r>
            <w:r>
              <w:t xml:space="preserve">д</w:t>
            </w:r>
            <w:r>
              <w:t xml:space="preserve">оговора</w:t>
            </w:r>
            <w:r>
              <w:t xml:space="preserve">:</w:t>
            </w:r>
            <w:r/>
          </w:p>
        </w:tc>
        <w:tc>
          <w:tcPr>
            <w:tcW w:w="5676" w:type="dxa"/>
            <w:textDirection w:val="lrTb"/>
            <w:noWrap w:val="false"/>
          </w:tcPr>
          <w:p>
            <w:pPr>
              <w:pStyle w:val="1073"/>
            </w:pPr>
            <w:r>
              <w:t xml:space="preserve">Отсутствуют.</w:t>
            </w:r>
            <w:r/>
          </w:p>
        </w:tc>
      </w:tr>
      <w:tr>
        <w:tblPrEx/>
        <w:trPr/>
        <w:tc>
          <w:tcPr>
            <w:tcW w:w="846" w:type="dxa"/>
            <w:textDirection w:val="lrTb"/>
            <w:noWrap w:val="false"/>
          </w:tcPr>
          <w:p>
            <w:pPr>
              <w:pStyle w:val="1069"/>
            </w:pPr>
            <w:r/>
            <w:r/>
          </w:p>
        </w:tc>
        <w:tc>
          <w:tcPr>
            <w:tcW w:w="3232" w:type="dxa"/>
            <w:textDirection w:val="lrTb"/>
            <w:noWrap w:val="false"/>
          </w:tcPr>
          <w:p>
            <w:pPr>
              <w:pStyle w:val="1073"/>
              <w:jc w:val="left"/>
            </w:pPr>
            <w:r>
              <w:t xml:space="preserve">Обеспечение</w:t>
            </w:r>
            <w:r>
              <w:br/>
            </w:r>
            <w:r>
              <w:t xml:space="preserve">исполнения</w:t>
            </w:r>
            <w:r>
              <w:t xml:space="preserve"> </w:t>
            </w:r>
            <w:r>
              <w:t xml:space="preserve">Договора</w:t>
            </w:r>
            <w:r>
              <w:t xml:space="preserve">:</w:t>
            </w:r>
            <w:r/>
          </w:p>
        </w:tc>
        <w:tc>
          <w:tcPr>
            <w:tcW w:w="5676" w:type="dxa"/>
            <w:textDirection w:val="lrTb"/>
            <w:noWrap w:val="false"/>
          </w:tcPr>
          <w:p>
            <w:pPr>
              <w:pStyle w:val="1073"/>
            </w:pPr>
            <w:r>
              <w:t xml:space="preserve">Не требуется</w:t>
            </w:r>
            <w:r>
              <w:t xml:space="preserve">.</w:t>
            </w:r>
            <w:r/>
          </w:p>
        </w:tc>
      </w:tr>
    </w:tbl>
    <w:p>
      <w:pPr>
        <w:pStyle w:val="1067"/>
      </w:pPr>
      <w:r/>
      <w:bookmarkStart w:id="34" w:name="_Ref125360073"/>
      <w:r/>
      <w:bookmarkStart w:id="35" w:name="_Ref125360337"/>
      <w:r/>
      <w:bookmarkStart w:id="36" w:name="_Toc224744287"/>
      <w:r>
        <w:t xml:space="preserve">Общие положения</w:t>
      </w:r>
      <w:bookmarkEnd w:id="34"/>
      <w:r/>
      <w:bookmarkEnd w:id="35"/>
      <w:r/>
      <w:bookmarkEnd w:id="36"/>
      <w:r/>
      <w:r/>
    </w:p>
    <w:p>
      <w:pPr>
        <w:pStyle w:val="1068"/>
      </w:pPr>
      <w:r/>
      <w:bookmarkStart w:id="37" w:name="_Toc224744288"/>
      <w:r>
        <w:t xml:space="preserve">Общие сведения о закупке</w:t>
      </w:r>
      <w:bookmarkEnd w:id="37"/>
      <w:r/>
      <w:r/>
    </w:p>
    <w:p>
      <w:pPr>
        <w:pStyle w:val="1069"/>
      </w:pPr>
      <w:r>
        <w:t xml:space="preserve">Организатор официально размещенным Извещением приглашает лиц, указанных в подразделе</w:t>
      </w:r>
      <w:r>
        <w:t xml:space="preserve"> </w:t>
      </w:r>
      <w:r>
        <w:fldChar w:fldCharType="begin"/>
      </w:r>
      <w:r>
        <w:instrText xml:space="preserve"> REF _Ref125359973 \r \h </w:instrText>
      </w:r>
      <w:r>
        <w:fldChar w:fldCharType="separate"/>
      </w:r>
      <w:r>
        <w:t xml:space="preserve">1.2</w:t>
      </w:r>
      <w:r>
        <w:fldChar w:fldCharType="end"/>
      </w:r>
      <w:r>
        <w:t xml:space="preserve">, к участию в закупке на право заключения договора, предмет которого указан в том же подразделе</w:t>
      </w:r>
      <w:r>
        <w:t xml:space="preserve">.</w:t>
      </w:r>
      <w:r/>
    </w:p>
    <w:p>
      <w:pPr>
        <w:pStyle w:val="1069"/>
      </w:pPr>
      <w:r>
        <w:t xml:space="preserve">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_Ref125361210 \r \h </w:instrText>
      </w:r>
      <w:r>
        <w:fldChar w:fldCharType="separate"/>
      </w:r>
      <w:r>
        <w:t xml:space="preserve">3</w:t>
      </w:r>
      <w:r>
        <w:fldChar w:fldCharType="end"/>
      </w:r>
      <w:r>
        <w:t xml:space="preserve"> Документации о закупке.</w:t>
      </w:r>
      <w:r/>
    </w:p>
    <w:p>
      <w:pPr>
        <w:pStyle w:val="1069"/>
      </w:pPr>
      <w:r>
        <w:t xml:space="preserve">Требования к поставляемой продукции, включая срок, объем и место поставки продукции, изложены в </w:t>
      </w:r>
      <w:hyperlink w:tooltip="#Прил01_ТехТребования" w:anchor="Прил01_ТехТребования" w:history="1">
        <w:r>
          <w:rPr>
            <w:rStyle w:val="1097"/>
          </w:rPr>
          <w:t xml:space="preserve">Технических требованиях (Приложение № 1)</w:t>
        </w:r>
      </w:hyperlink>
      <w:r>
        <w:t xml:space="preserve">.</w:t>
      </w:r>
      <w:r>
        <w:t xml:space="preserve"> </w:t>
      </w:r>
      <w:hyperlink w:tooltip="#Прил02_ПроектДоговора" w:anchor="Прил02_ПроектДоговора" w:history="1">
        <w:r>
          <w:rPr>
            <w:rStyle w:val="1097"/>
          </w:rPr>
          <w:t xml:space="preserve">Проект договора</w:t>
        </w:r>
      </w:hyperlink>
      <w:r>
        <w:t xml:space="preserve">, который планируется заключить по результатам закупки, в том числе содержащий условия по форме, срокам и порядку оплаты, приведен в</w:t>
      </w:r>
      <w:r>
        <w:t xml:space="preserve"> </w:t>
      </w:r>
      <w:hyperlink w:tooltip="#Прил02_ПроектДоговора" w:anchor="Прил02_ПроектДоговора" w:history="1">
        <w:r>
          <w:rPr>
            <w:rStyle w:val="1097"/>
          </w:rPr>
          <w:t xml:space="preserve">Приложении № 2</w:t>
        </w:r>
      </w:hyperlink>
      <w:r>
        <w:t xml:space="preserve">. </w:t>
      </w:r>
      <w:r>
        <w:t xml:space="preserve">Если в подразделе</w:t>
      </w:r>
      <w:r>
        <w:t xml:space="preserve"> </w:t>
      </w:r>
      <w:r>
        <w:fldChar w:fldCharType="begin"/>
      </w:r>
      <w:r>
        <w:instrText xml:space="preserve"> REF _Ref125359973 \r \h </w:instrText>
      </w:r>
      <w:r>
        <w:fldChar w:fldCharType="separate"/>
      </w:r>
      <w:r>
        <w:t xml:space="preserve">1.2</w:t>
      </w:r>
      <w:r>
        <w:fldChar w:fldCharType="end"/>
      </w:r>
      <w:r>
        <w:t xml:space="preserve"> установлено, что национальный режим не предоставляется, то требования к закупаемой продукции (в части страны происхождения товара) также могут быть установлены в Структуре НМЦ (в составе Коммерческого предложения (форма</w:t>
      </w:r>
      <w:r>
        <w:t xml:space="preserve"> </w:t>
      </w:r>
      <w:r>
        <w:t xml:space="preserve">3) (</w:t>
      </w:r>
      <w:hyperlink w:tooltip="#Прил04_ФормыЗаявки" w:anchor="Прил04_ФормыЗаявки" w:history="1">
        <w:r>
          <w:rPr>
            <w:rStyle w:val="1097"/>
          </w:rPr>
          <w:t xml:space="preserve">Приложение № 4</w:t>
        </w:r>
      </w:hyperlink>
      <w:r>
        <w:t xml:space="preserve">))</w:t>
      </w:r>
      <w:r>
        <w:t xml:space="preserve">.</w:t>
      </w:r>
      <w:r/>
    </w:p>
    <w:p>
      <w:pPr>
        <w:pStyle w:val="1069"/>
      </w:pPr>
      <w:r>
        <w:t xml:space="preserve">Подробная информация о</w:t>
      </w:r>
      <w:r>
        <w:t xml:space="preserve"> </w:t>
      </w:r>
      <w:r>
        <w:t xml:space="preserve">порядке проведения закупки и участия в ней, а также о порядке заключения Договора</w:t>
      </w:r>
      <w:r>
        <w:t xml:space="preserve">,</w:t>
      </w:r>
      <w:r>
        <w:t xml:space="preserve"> приведены в разделах </w:t>
      </w:r>
      <w:r>
        <w:fldChar w:fldCharType="begin"/>
      </w:r>
      <w:r>
        <w:instrText xml:space="preserve"> REF _Ref125361211 \r \h </w:instrText>
      </w:r>
      <w:r>
        <w:fldChar w:fldCharType="separate"/>
      </w:r>
      <w:r>
        <w:t xml:space="preserve">4</w:t>
      </w:r>
      <w:r>
        <w:fldChar w:fldCharType="end"/>
      </w:r>
      <w:r>
        <w:t xml:space="preserve">, </w:t>
      </w:r>
      <w:r>
        <w:fldChar w:fldCharType="begin"/>
      </w:r>
      <w:r>
        <w:instrText xml:space="preserve"> REF _Ref126142429 \r \h </w:instrText>
      </w:r>
      <w:r>
        <w:fldChar w:fldCharType="separate"/>
      </w:r>
      <w:r>
        <w:t xml:space="preserve">5</w:t>
      </w:r>
      <w:r>
        <w:fldChar w:fldCharType="end"/>
      </w:r>
      <w:r>
        <w:t xml:space="preserve">, образцы основных форм документов, включаемых в заявку или предоставляемых Победителем, приведены </w:t>
      </w:r>
      <w:r>
        <w:t xml:space="preserve">в Приложениях </w:t>
      </w:r>
      <w:hyperlink w:tooltip="#Прил04_ФормыЗаявки" w:anchor="Прил04_ФормыЗаявки" w:history="1">
        <w:r>
          <w:rPr>
            <w:rStyle w:val="1097"/>
          </w:rPr>
          <w:t xml:space="preserve">№ 4</w:t>
        </w:r>
      </w:hyperlink>
      <w:r>
        <w:t xml:space="preserve">, </w:t>
      </w:r>
      <w:hyperlink w:tooltip="#Прил05_ФормыПобедителя" w:anchor="Прил05_ФормыПобедителя" w:history="1">
        <w:r>
          <w:rPr>
            <w:rStyle w:val="1097"/>
          </w:rPr>
          <w:t xml:space="preserve">№</w:t>
        </w:r>
        <w:r>
          <w:rPr>
            <w:rStyle w:val="1097"/>
          </w:rPr>
          <w:t xml:space="preserve"> </w:t>
        </w:r>
        <w:r>
          <w:rPr>
            <w:rStyle w:val="1097"/>
          </w:rPr>
          <w:t xml:space="preserve">5</w:t>
        </w:r>
      </w:hyperlink>
      <w:r>
        <w:t xml:space="preserve">.</w:t>
      </w:r>
      <w:r/>
    </w:p>
    <w:p>
      <w:pPr>
        <w:pStyle w:val="1068"/>
      </w:pPr>
      <w:r/>
      <w:bookmarkStart w:id="38" w:name="_Toc224744289"/>
      <w:r>
        <w:t xml:space="preserve">Правовой статус документов</w:t>
      </w:r>
      <w:bookmarkEnd w:id="38"/>
      <w:r/>
      <w:r/>
    </w:p>
    <w:p>
      <w:pPr>
        <w:pStyle w:val="1069"/>
      </w:pPr>
      <w:r>
        <w:t xml:space="preserve">Документация о закупке вместе с Извещением, являющимся ее неотъемлемой частью, являются публичной офертой Организатора в соответствии со</w:t>
      </w:r>
      <w:r>
        <w:t xml:space="preserve"> </w:t>
      </w:r>
      <w:r>
        <w:t xml:space="preserve">статьей</w:t>
      </w:r>
      <w:r>
        <w:t xml:space="preserve"> </w:t>
      </w:r>
      <w:r>
        <w:t xml:space="preserve">437 ГК РФ и должны рассматриваться Участниками в соответствии с этим до подведения итогов закупки. При наличии противоречий между положениями Извещения и Документации о закупке применяются положения Извещения.</w:t>
      </w:r>
      <w:r/>
    </w:p>
    <w:p>
      <w:pPr>
        <w:pStyle w:val="1069"/>
      </w:pPr>
      <w:r>
        <w:t xml:space="preserve">Заявка Участника имеет правовой статус оферты и будет рассматриваться Организатором в течение указанного в ней срока ее действия.</w:t>
      </w:r>
      <w:r/>
    </w:p>
    <w:p>
      <w:pPr>
        <w:pStyle w:val="1069"/>
        <w:keepNext/>
      </w:pPr>
      <w:r/>
      <w:bookmarkStart w:id="39" w:name="_Ref125366985"/>
      <w:r>
        <w:t xml:space="preserve">При определении условий Договора по результатам закупки использу</w:t>
      </w:r>
      <w:r>
        <w:t xml:space="preserve">е</w:t>
      </w:r>
      <w:r>
        <w:t xml:space="preserve">тся </w:t>
      </w:r>
      <w:r>
        <w:t xml:space="preserve">иерархия документов, установленная в пункте </w:t>
      </w:r>
      <w:r>
        <w:fldChar w:fldCharType="begin"/>
      </w:r>
      <w:r>
        <w:instrText xml:space="preserve"> REF _Ref132288402 \r \h </w:instrText>
      </w:r>
      <w:r>
        <w:fldChar w:fldCharType="separate"/>
      </w:r>
      <w:r>
        <w:t xml:space="preserve">5.2.9</w:t>
      </w:r>
      <w:r>
        <w:fldChar w:fldCharType="end"/>
      </w:r>
      <w:bookmarkEnd w:id="39"/>
      <w:r>
        <w:t xml:space="preserve">.</w:t>
      </w:r>
      <w:r/>
    </w:p>
    <w:p>
      <w:pPr>
        <w:pStyle w:val="1069"/>
      </w:pPr>
      <w:r>
        <w:t xml:space="preserve">Заключенный по результатам закупки Договор, в том числе, фиксирует все достигнутые сторонами договоренности</w:t>
      </w:r>
      <w:r>
        <w:t xml:space="preserve">.</w:t>
      </w:r>
      <w:r/>
    </w:p>
    <w:p>
      <w:pPr>
        <w:pStyle w:val="1069"/>
      </w:pPr>
      <w:r>
        <w:t xml:space="preserve">Во всем, что не урегулировано Извещением и Документацией о закупке, стороны руководствуются Законом 223-ФЗ и Положением о закупке (в</w:t>
      </w:r>
      <w:r>
        <w:t xml:space="preserve"> </w:t>
      </w:r>
      <w:r>
        <w:t xml:space="preserve">редакции, действующей на дату официального размещения Извещения).</w:t>
      </w:r>
      <w:r/>
    </w:p>
    <w:p>
      <w:pPr>
        <w:pStyle w:val="1069"/>
      </w:pPr>
      <w:r>
        <w:t xml:space="preserve">Е</w:t>
      </w:r>
      <w:r>
        <w:t xml:space="preserve">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w:t>
      </w:r>
      <w:r>
        <w:t xml:space="preserve"> </w:t>
      </w:r>
      <w:r>
        <w:t xml:space="preserve">диспозитивным нормам указанных документов.</w:t>
      </w:r>
      <w:r/>
    </w:p>
    <w:p>
      <w:pPr>
        <w:pStyle w:val="1069"/>
      </w:pPr>
      <w:r>
        <w:t xml:space="preserve">Иные документы Организатора и Участников не определяют права и обязанности сторон в связи с данной закупкой.</w:t>
      </w:r>
      <w:r/>
    </w:p>
    <w:p>
      <w:pPr>
        <w:pStyle w:val="1069"/>
      </w:pPr>
      <w:r>
        <w:t xml:space="preserve">Любые уведомления, письма, предложения, иная переписка и действия председателя, за</w:t>
      </w:r>
      <w:r>
        <w:t xml:space="preserve">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w:t>
      </w:r>
      <w:r>
        <w:t xml:space="preserve"> </w:t>
      </w:r>
      <w:r>
        <w:t xml:space="preserve">закупке)</w:t>
      </w:r>
      <w:r>
        <w:t xml:space="preserve">,</w:t>
      </w:r>
      <w:r>
        <w:t xml:space="preserve"> носят исключительно информационный характер и не являются офертой либо акцептом Организатора или Заказчика.</w:t>
      </w:r>
      <w:r/>
    </w:p>
    <w:p>
      <w:pPr>
        <w:pStyle w:val="1068"/>
      </w:pPr>
      <w:r/>
      <w:bookmarkStart w:id="40" w:name="_Ref125363536"/>
      <w:r/>
      <w:bookmarkStart w:id="41" w:name="_Toc224744290"/>
      <w:r>
        <w:t xml:space="preserve">Обжалование</w:t>
      </w:r>
      <w:bookmarkEnd w:id="40"/>
      <w:r/>
      <w:bookmarkEnd w:id="41"/>
      <w:r/>
      <w:r/>
    </w:p>
    <w:p>
      <w:pPr>
        <w:pStyle w:val="1069"/>
      </w:pPr>
      <w:r>
        <w:t xml:space="preserve">Любой Участник, который заявляет, что понес или может понести убытки в</w:t>
      </w:r>
      <w:r>
        <w:t xml:space="preserve"> </w:t>
      </w:r>
      <w:r>
        <w:t xml:space="preserve">результате нарушения его прав Заказчиком </w:t>
      </w:r>
      <w:r>
        <w:t xml:space="preserve">и</w:t>
      </w:r>
      <w:r>
        <w:t xml:space="preserve"> (</w:t>
      </w:r>
      <w:r>
        <w:t xml:space="preserve">или</w:t>
      </w:r>
      <w:r>
        <w:t xml:space="preserve">)</w:t>
      </w:r>
      <w:r>
        <w:t xml:space="preserve"> </w:t>
      </w:r>
      <w:r>
        <w:t xml:space="preserve">Организатором, отдельными членами Закупочной комиссии или </w:t>
      </w:r>
      <w:r>
        <w:t xml:space="preserve">О</w:t>
      </w:r>
      <w:r>
        <w:t xml:space="preserve">ператором ЭП, имеет право подать заявление о рассмотрении разногласий, связанных с проведением закуп</w:t>
      </w:r>
      <w:r>
        <w:t xml:space="preserve">ки</w:t>
      </w:r>
      <w:r>
        <w:t xml:space="preserve">.</w:t>
      </w:r>
      <w:r/>
    </w:p>
    <w:p>
      <w:pPr>
        <w:pStyle w:val="1069"/>
      </w:pPr>
      <w:r>
        <w:t xml:space="preserve">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w:t>
      </w:r>
      <w:r>
        <w:t xml:space="preserve"> </w:t>
      </w:r>
      <w:r>
        <w:t xml:space="preserve">«РусГидро» (вкладка «Линия доверия»), или сообщения информации по</w:t>
      </w:r>
      <w:r>
        <w:t xml:space="preserve"> </w:t>
      </w:r>
      <w:r>
        <w:t xml:space="preserve">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r/>
    </w:p>
    <w:p>
      <w:pPr>
        <w:pStyle w:val="1069"/>
        <w:keepNext/>
      </w:pPr>
      <w:r>
        <w:t xml:space="preserve">Если разногласия не разрешены по взаимному согласию представившего их Участника и Заказчика, </w:t>
      </w:r>
      <w:r>
        <w:t xml:space="preserve">может быть</w:t>
      </w:r>
      <w:r>
        <w:t xml:space="preserve"> принят</w:t>
      </w:r>
      <w:r>
        <w:t xml:space="preserve">о</w:t>
      </w:r>
      <w:r>
        <w:t xml:space="preserve"> одно из следующих решений:</w:t>
      </w:r>
      <w:r/>
    </w:p>
    <w:p>
      <w:pPr>
        <w:pStyle w:val="1070"/>
      </w:pPr>
      <w:r>
        <w:t xml:space="preserve">обязать </w:t>
      </w:r>
      <w:r>
        <w:t xml:space="preserve">Заказчика, Организатора, </w:t>
      </w:r>
      <w:r>
        <w:t xml:space="preserve">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w:t>
      </w:r>
      <w:r>
        <w:t xml:space="preserve"> </w:t>
      </w:r>
      <w:r>
        <w:t xml:space="preserve">(в том числе, но</w:t>
      </w:r>
      <w:r>
        <w:t xml:space="preserve"> </w:t>
      </w:r>
      <w:r>
        <w:t xml:space="preserve">не</w:t>
      </w:r>
      <w:r>
        <w:t xml:space="preserve"> </w:t>
      </w:r>
      <w:r>
        <w:t xml:space="preserve">ограничиваясь, отменить составленные в ходе закупки протоколы, повторно рассмотреть заявки Участников)</w:t>
      </w:r>
      <w:r>
        <w:t xml:space="preserve">;</w:t>
      </w:r>
      <w:r/>
    </w:p>
    <w:p>
      <w:pPr>
        <w:pStyle w:val="1070"/>
      </w:pPr>
      <w:r>
        <w:t xml:space="preserve">признать заявление Участника необоснованным.</w:t>
      </w:r>
      <w:r/>
    </w:p>
    <w:p>
      <w:pPr>
        <w:pStyle w:val="1069"/>
      </w:pPr>
      <w:r>
        <w:t xml:space="preserve">Участник вправе обжаловать действия (бездействие) Заказчика </w:t>
      </w:r>
      <w:r>
        <w:t xml:space="preserve">и</w:t>
      </w:r>
      <w:r>
        <w:t xml:space="preserve"> (</w:t>
      </w:r>
      <w:r>
        <w:t xml:space="preserve">или</w:t>
      </w:r>
      <w:r>
        <w:t xml:space="preserve">)</w:t>
      </w:r>
      <w:r>
        <w:t xml:space="preserve"> </w:t>
      </w:r>
      <w:r>
        <w:t xml:space="preserve">Организатора, Закупочной комиссии, </w:t>
      </w:r>
      <w:r>
        <w:t xml:space="preserve">О</w:t>
      </w:r>
      <w:r>
        <w:t xml:space="preserve">ператора ЭП при проведении настоящей закупки в</w:t>
      </w:r>
      <w:r>
        <w:t xml:space="preserve"> </w:t>
      </w:r>
      <w:r>
        <w:t xml:space="preserve">антимонопольном органе в порядке, установленном законодательством. </w:t>
      </w:r>
      <w:r>
        <w:t xml:space="preserve">Е</w:t>
      </w:r>
      <w:r>
        <w:t xml:space="preserve">сли обжалуемые действия (бездействие) совершены после окончания установленного срока подачи заявок (</w:t>
      </w:r>
      <w:r>
        <w:t xml:space="preserve">подраздел </w:t>
      </w:r>
      <w:r>
        <w:fldChar w:fldCharType="begin"/>
      </w:r>
      <w:r>
        <w:instrText xml:space="preserve"> REF _Ref125359973 \r \h </w:instrText>
      </w:r>
      <w:r>
        <w:instrText xml:space="preserve"> \* MERGEFORMAT </w:instrText>
      </w:r>
      <w:r>
        <w:fldChar w:fldCharType="separate"/>
      </w:r>
      <w:r>
        <w:t xml:space="preserve">1.2</w:t>
      </w:r>
      <w:r>
        <w:fldChar w:fldCharType="end"/>
      </w:r>
      <w:r>
        <w:t xml:space="preserve">), обжалование таких действий (бездействия) может осуществляться только Участником, подавшим заявку на участие в</w:t>
      </w:r>
      <w:r>
        <w:t xml:space="preserve"> </w:t>
      </w:r>
      <w:r>
        <w:t xml:space="preserve">такой закупке.</w:t>
      </w:r>
      <w:r/>
    </w:p>
    <w:p>
      <w:pPr>
        <w:pStyle w:val="1069"/>
      </w:pPr>
      <w:r>
        <w:t xml:space="preserve">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w:t>
      </w:r>
      <w:r>
        <w:t xml:space="preserve">на «Линию доверия»</w:t>
      </w:r>
      <w:r>
        <w:t xml:space="preserve"> </w:t>
      </w:r>
      <w:r>
        <w:t xml:space="preserve">и</w:t>
      </w:r>
      <w:r>
        <w:t xml:space="preserve"> (</w:t>
      </w:r>
      <w:r>
        <w:t xml:space="preserve">или</w:t>
      </w:r>
      <w:r>
        <w:t xml:space="preserve">)</w:t>
      </w:r>
      <w:r>
        <w:t xml:space="preserve"> антимонопольные органы, подлежат разрешению следующим образом:</w:t>
      </w:r>
      <w:r/>
    </w:p>
    <w:p>
      <w:pPr>
        <w:pStyle w:val="1070"/>
      </w:pPr>
      <w:r>
        <w:t xml:space="preserve">по закупкам, проводимым закупочными комиссиями 1-го уровня – в</w:t>
      </w:r>
      <w:r>
        <w:t xml:space="preserve"> </w:t>
      </w:r>
      <w:r>
        <w:t xml:space="preserve">Арбитражном суде по месту нахождения Заказчика (либо соответствующего филиала Заказчика, для нужд которого проводится настоящая закупка);</w:t>
      </w:r>
      <w:r/>
    </w:p>
    <w:p>
      <w:pPr>
        <w:pStyle w:val="1070"/>
      </w:pPr>
      <w:r>
        <w:t xml:space="preserve">по закупкам, проводимым закупочными комиссиями 2-го уровня, специальными закупочными комиссиями, закупочными комиссиями исполнительного аппарата ПАО</w:t>
      </w:r>
      <w:r>
        <w:t xml:space="preserve"> </w:t>
      </w:r>
      <w:r>
        <w:t xml:space="preserve">«РусГидро» – в Арбитражном суде </w:t>
      </w:r>
      <w:bookmarkStart w:id="42" w:name="_Hlk219296876"/>
      <w:r/>
      <w:bookmarkStart w:id="43" w:name="_Hlk219301278"/>
      <w:r>
        <w:t xml:space="preserve">Красноярского края</w:t>
      </w:r>
      <w:bookmarkEnd w:id="42"/>
      <w:r/>
      <w:bookmarkEnd w:id="43"/>
      <w:r>
        <w:t xml:space="preserve">.</w:t>
      </w:r>
      <w:r/>
    </w:p>
    <w:p>
      <w:pPr>
        <w:pStyle w:val="1073"/>
        <w:ind w:left="1134"/>
      </w:pPr>
      <w:r>
        <w:t xml:space="preserve">З</w:t>
      </w:r>
      <w:r>
        <w:t xml:space="preserve">акупочн</w:t>
      </w:r>
      <w:r>
        <w:t xml:space="preserve">ая</w:t>
      </w:r>
      <w:r>
        <w:t xml:space="preserve"> комисси</w:t>
      </w:r>
      <w:r>
        <w:t xml:space="preserve">я определяется в соответствии с Положением о закупке.</w:t>
      </w:r>
      <w:r/>
    </w:p>
    <w:p>
      <w:pPr>
        <w:pStyle w:val="1068"/>
      </w:pPr>
      <w:r/>
      <w:bookmarkStart w:id="44" w:name="_Ref125472658"/>
      <w:r/>
      <w:bookmarkStart w:id="45" w:name="_Toc224744291"/>
      <w:r>
        <w:t xml:space="preserve">Особ</w:t>
      </w:r>
      <w:r>
        <w:t xml:space="preserve">ые положения при</w:t>
      </w:r>
      <w:r>
        <w:t xml:space="preserve"> проведени</w:t>
      </w:r>
      <w:r>
        <w:t xml:space="preserve">и</w:t>
      </w:r>
      <w:r>
        <w:t xml:space="preserve"> закупки с использованием </w:t>
      </w:r>
      <w:r>
        <w:t xml:space="preserve">ЭП</w:t>
      </w:r>
      <w:bookmarkEnd w:id="44"/>
      <w:r/>
      <w:bookmarkEnd w:id="45"/>
      <w:r/>
      <w:r/>
    </w:p>
    <w:p>
      <w:pPr>
        <w:pStyle w:val="1069"/>
      </w:pPr>
      <w:r>
        <w:t xml:space="preserve">Наименование ЭП, посредством которой проводится закупка, указано в</w:t>
      </w:r>
      <w:r>
        <w:t xml:space="preserve"> </w:t>
      </w:r>
      <w:r>
        <w:t xml:space="preserve">подразделе</w:t>
      </w:r>
      <w:r>
        <w:t xml:space="preserve"> </w:t>
      </w:r>
      <w:r>
        <w:fldChar w:fldCharType="begin"/>
      </w:r>
      <w:r>
        <w:instrText xml:space="preserve"> REF _Ref125359973 \r \h </w:instrText>
      </w:r>
      <w:r>
        <w:fldChar w:fldCharType="separate"/>
      </w:r>
      <w:r>
        <w:t xml:space="preserve">1.2</w:t>
      </w:r>
      <w:r>
        <w:fldChar w:fldCharType="end"/>
      </w:r>
      <w:r>
        <w:t xml:space="preserve">. До подачи заявки Участник обязан ознакомиться с</w:t>
      </w:r>
      <w:r>
        <w:t xml:space="preserve"> </w:t>
      </w:r>
      <w:r>
        <w:t xml:space="preserve">Регламентом</w:t>
      </w:r>
      <w:r>
        <w:t xml:space="preserve"> ЭП</w:t>
      </w:r>
      <w:r>
        <w:t xml:space="preserve">, опубликованными на сайте соответствующей ЭП.</w:t>
      </w:r>
      <w:r/>
    </w:p>
    <w:p>
      <w:pPr>
        <w:pStyle w:val="1069"/>
      </w:pPr>
      <w:r>
        <w:t xml:space="preserve">Для участия в закупке Участник должен пройти процедуру регистрации в</w:t>
      </w:r>
      <w:r>
        <w:t xml:space="preserve"> </w:t>
      </w:r>
      <w:r>
        <w:t xml:space="preserve">Едином реестре участников закупок в ЕИС в порядке, предусмотренным Законом</w:t>
      </w:r>
      <w:r>
        <w:t xml:space="preserve"> </w:t>
      </w:r>
      <w:r>
        <w:t xml:space="preserve">44-ФЗ, т.е. быть зарегистрированным на ЭП. Регистрация осуществляется Федеральным Казначейством, и Организатор (Заказчик) не</w:t>
      </w:r>
      <w:r>
        <w:t xml:space="preserve"> </w:t>
      </w:r>
      <w:r>
        <w:t xml:space="preserve">несет ответственности за результат ее прохождения Участником, в том числе понесенные им затраты.</w:t>
      </w:r>
      <w:r/>
    </w:p>
    <w:p>
      <w:pPr>
        <w:pStyle w:val="1069"/>
      </w:pPr>
      <w:r>
        <w:t xml:space="preserve">Правила проведения закупки в том числе определяются Регламентом ЭП.</w:t>
      </w:r>
      <w:r/>
    </w:p>
    <w:p>
      <w:pPr>
        <w:pStyle w:val="1069"/>
      </w:pPr>
      <w:r/>
      <w:bookmarkStart w:id="46" w:name="_Ref135748672"/>
      <w:r>
        <w:t xml:space="preserve">Обмен </w:t>
      </w:r>
      <w:r>
        <w:t xml:space="preserve">всей информацией, связанной с проведением закупки (</w:t>
      </w:r>
      <w:r>
        <w:t xml:space="preserve">между Участником, Организатором</w:t>
      </w:r>
      <w:r>
        <w:t xml:space="preserve"> (Заказчиком</w:t>
      </w:r>
      <w:r>
        <w:t xml:space="preserve">) и </w:t>
      </w:r>
      <w:r>
        <w:t xml:space="preserve">О</w:t>
      </w:r>
      <w:r>
        <w:t xml:space="preserve">ператором ЭП</w:t>
      </w:r>
      <w:r>
        <w:t xml:space="preserve">)</w:t>
      </w:r>
      <w:r>
        <w:t xml:space="preserve"> осуществляется на ЭП в</w:t>
      </w:r>
      <w:r>
        <w:t xml:space="preserve"> </w:t>
      </w:r>
      <w:r>
        <w:t xml:space="preserve">форме электронных документов, подписанных усиленной квалифицированной электронной подписью уполномоченного лица.</w:t>
      </w:r>
      <w:bookmarkEnd w:id="46"/>
      <w:r/>
      <w:r/>
    </w:p>
    <w:p>
      <w:pPr>
        <w:pStyle w:val="1069"/>
      </w:pPr>
      <w:r/>
      <w:bookmarkStart w:id="47" w:name="_Ref135748741"/>
      <w:r>
        <w:t xml:space="preserve">Стоимость</w:t>
      </w:r>
      <w:r>
        <w:t xml:space="preserve"> заявки</w:t>
      </w:r>
      <w:r>
        <w:t xml:space="preserve"> (цена Договора)</w:t>
      </w:r>
      <w:r>
        <w:t xml:space="preserve">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bookmarkEnd w:id="47"/>
      <w:r/>
      <w:r/>
    </w:p>
    <w:p>
      <w:pPr>
        <w:pStyle w:val="1068"/>
      </w:pPr>
      <w:r/>
      <w:bookmarkStart w:id="48" w:name="_Toc224744292"/>
      <w:r>
        <w:t xml:space="preserve">Прочие положения</w:t>
      </w:r>
      <w:bookmarkEnd w:id="48"/>
      <w:r/>
      <w:r/>
    </w:p>
    <w:p>
      <w:pPr>
        <w:pStyle w:val="1069"/>
      </w:pPr>
      <w:r>
        <w:t xml:space="preserve">Заказчик, Организатор и </w:t>
      </w:r>
      <w:r>
        <w:t xml:space="preserve">О</w:t>
      </w:r>
      <w:r>
        <w:t xml:space="preserve">ператор ЭП обеспечивают конфиденциальн</w:t>
      </w:r>
      <w:r>
        <w:t xml:space="preserve">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r/>
    </w:p>
    <w:p>
      <w:pPr>
        <w:pStyle w:val="1069"/>
      </w:pPr>
      <w:r/>
      <w:bookmarkStart w:id="49" w:name="_Ref136257236"/>
      <w:r>
        <w:t xml:space="preserve">Организатор </w:t>
      </w:r>
      <w:r>
        <w:t xml:space="preserve">(</w:t>
      </w:r>
      <w:r>
        <w:t xml:space="preserve">по</w:t>
      </w:r>
      <w:r>
        <w:t xml:space="preserve"> решени</w:t>
      </w:r>
      <w:r>
        <w:t xml:space="preserve">ю</w:t>
      </w:r>
      <w:r>
        <w:t xml:space="preserve"> Закупочной комиссии</w:t>
      </w:r>
      <w:r>
        <w:t xml:space="preserve">)</w:t>
      </w:r>
      <w:r>
        <w:t xml:space="preserve">, вправе отклонить заявку, если будет установлено, что Участник</w:t>
      </w:r>
      <w:r>
        <w:t xml:space="preserve"> каким-либо способом повлиял на рассмотрение заявок,</w:t>
      </w:r>
      <w:r>
        <w:t xml:space="preserve"> их</w:t>
      </w:r>
      <w:r>
        <w:t xml:space="preserve"> оценку и сопоставление, подведение итогов закупки (определение Победителя), в том числе </w:t>
      </w:r>
      <w:r>
        <w:t xml:space="preserve">прямо или косвенно дал, согласился дать или предложил работнику Организатора, Заказчика, члену Закупочной комиссии</w:t>
      </w:r>
      <w:r>
        <w:t xml:space="preserve"> или эксперту, осуществляв</w:t>
      </w:r>
      <w:r>
        <w:t xml:space="preserve">шему</w:t>
      </w:r>
      <w:r>
        <w:t xml:space="preserve"> экспертизу заявок,</w:t>
      </w:r>
      <w:r>
        <w:t xml:space="preserve"> вознаграждение в</w:t>
      </w:r>
      <w:r>
        <w:t xml:space="preserve"> </w:t>
      </w:r>
      <w:r>
        <w:t xml:space="preserve">любой форме: работу, услугу, какую-либо ценность в</w:t>
      </w:r>
      <w:r>
        <w:t xml:space="preserve"> </w:t>
      </w:r>
      <w:r>
        <w:t xml:space="preserve">качестве стимула,</w:t>
      </w:r>
      <w:r>
        <w:t xml:space="preserve"> и (или) оказал каким-либо иным образом давление на</w:t>
      </w:r>
      <w:r>
        <w:t xml:space="preserve"> </w:t>
      </w:r>
      <w:r>
        <w:t xml:space="preserve">указанны</w:t>
      </w:r>
      <w:r>
        <w:t xml:space="preserve">х</w:t>
      </w:r>
      <w:r>
        <w:t xml:space="preserve"> лиц</w:t>
      </w:r>
      <w:r>
        <w:t xml:space="preserve">.</w:t>
      </w:r>
      <w:bookmarkEnd w:id="49"/>
      <w:r/>
      <w:r/>
    </w:p>
    <w:p>
      <w:pPr>
        <w:pStyle w:val="1069"/>
      </w:pPr>
      <w:r>
        <w:t xml:space="preserve">С целью предупреждения и противодействия противоправным действиям в</w:t>
      </w:r>
      <w:r>
        <w:t xml:space="preserve"> </w:t>
      </w:r>
      <w:r>
        <w:t xml:space="preserve">Группе РусГидро организована круглосуточная «Линия доверия», обратиться на которую можно по телефону +7</w:t>
      </w:r>
      <w:r>
        <w:t xml:space="preserve"> </w:t>
      </w:r>
      <w:r>
        <w:t xml:space="preserve">(495)</w:t>
      </w:r>
      <w:r>
        <w:t xml:space="preserve"> </w:t>
      </w:r>
      <w:r>
        <w:t xml:space="preserve">785</w:t>
      </w:r>
      <w:r>
        <w:t xml:space="preserve"> </w:t>
      </w:r>
      <w:r>
        <w:t xml:space="preserve">09</w:t>
      </w:r>
      <w:r>
        <w:t xml:space="preserve"> </w:t>
      </w:r>
      <w:r>
        <w:t xml:space="preserve">37 (круглосуточно), или заполнив соответствующую форму на корпоративном сайте ПАО</w:t>
      </w:r>
      <w:r>
        <w:t xml:space="preserve"> </w:t>
      </w:r>
      <w:r>
        <w:t xml:space="preserve">«РусГидро», вкладка «Линия доверия».</w:t>
      </w:r>
      <w:r/>
    </w:p>
    <w:p>
      <w:pPr>
        <w:pStyle w:val="1067"/>
      </w:pPr>
      <w:r/>
      <w:bookmarkStart w:id="50" w:name="_Ref125361210"/>
      <w:r/>
      <w:bookmarkStart w:id="51" w:name="_Toc224744293"/>
      <w:r>
        <w:t xml:space="preserve">Требования к </w:t>
      </w:r>
      <w:r>
        <w:t xml:space="preserve">У</w:t>
      </w:r>
      <w:r>
        <w:t xml:space="preserve">частникам</w:t>
      </w:r>
      <w:bookmarkEnd w:id="50"/>
      <w:r/>
      <w:bookmarkEnd w:id="51"/>
      <w:r/>
      <w:r/>
    </w:p>
    <w:p>
      <w:pPr>
        <w:pStyle w:val="1068"/>
      </w:pPr>
      <w:r/>
      <w:bookmarkStart w:id="52" w:name="_Ref127524530"/>
      <w:r/>
      <w:bookmarkStart w:id="53" w:name="_Toc224744294"/>
      <w:r>
        <w:t xml:space="preserve">Общие требования к Участникам</w:t>
      </w:r>
      <w:bookmarkEnd w:id="52"/>
      <w:r/>
      <w:bookmarkEnd w:id="53"/>
      <w:r/>
      <w:r/>
    </w:p>
    <w:p>
      <w:pPr>
        <w:pStyle w:val="1069"/>
      </w:pPr>
      <w:r/>
      <w:bookmarkStart w:id="54" w:name="_Ref125361514"/>
      <w:r>
        <w:t xml:space="preserve">Из лиц, указанных в</w:t>
      </w:r>
      <w:r>
        <w:t xml:space="preserve"> подразделе </w:t>
      </w:r>
      <w:r>
        <w:fldChar w:fldCharType="begin"/>
      </w:r>
      <w:r>
        <w:instrText xml:space="preserve"> REF _Ref125359973 \r \h </w:instrText>
      </w:r>
      <w:r>
        <w:fldChar w:fldCharType="separate"/>
      </w:r>
      <w:r>
        <w:t xml:space="preserve">1.2</w:t>
      </w:r>
      <w:r>
        <w:fldChar w:fldCharType="end"/>
      </w:r>
      <w:r>
        <w:t xml:space="preserve">, у</w:t>
      </w:r>
      <w:r>
        <w:t xml:space="preserve">частвовать в закупке может </w:t>
      </w:r>
      <w:r>
        <w:t xml:space="preserve">любое </w:t>
      </w:r>
      <w:r>
        <w:t xml:space="preserve">юридическое / физическое лицо</w:t>
      </w:r>
      <w:r>
        <w:t xml:space="preserve"> (</w:t>
      </w:r>
      <w:r>
        <w:t xml:space="preserve">в том числе индивидуальный предприниматель</w:t>
      </w:r>
      <w:r>
        <w:t xml:space="preserve">)</w:t>
      </w:r>
      <w:r>
        <w:t xml:space="preserve">, независимо от их организационно-правовой формы, формы собственности, места нахождения и места происхождения капитала</w:t>
      </w:r>
      <w:r>
        <w:t xml:space="preserve">. Исключение составляют</w:t>
      </w:r>
      <w:r>
        <w:t xml:space="preserve"> </w:t>
      </w:r>
      <w:r>
        <w:t xml:space="preserve">юридическ</w:t>
      </w:r>
      <w:r>
        <w:t xml:space="preserve">ие</w:t>
      </w:r>
      <w:r>
        <w:t xml:space="preserve"> </w:t>
      </w:r>
      <w:r>
        <w:t xml:space="preserve">/ физическ</w:t>
      </w:r>
      <w:r>
        <w:t xml:space="preserve">ие</w:t>
      </w:r>
      <w:r>
        <w:t xml:space="preserve"> лица, являющ</w:t>
      </w:r>
      <w:r>
        <w:t xml:space="preserve">ие</w:t>
      </w:r>
      <w:r>
        <w:t xml:space="preserve">ся иностранным агентом в соответствии с </w:t>
      </w:r>
      <w:r>
        <w:t xml:space="preserve">Законом</w:t>
      </w:r>
      <w:r>
        <w:t xml:space="preserve"> </w:t>
      </w:r>
      <w:r>
        <w:t xml:space="preserve">255-ФЗ</w:t>
      </w:r>
      <w:r>
        <w:t xml:space="preserve"> </w:t>
      </w:r>
      <w:r>
        <w:t xml:space="preserve">–</w:t>
      </w:r>
      <w:r>
        <w:t xml:space="preserve"> они не могут быть Участником</w:t>
      </w:r>
      <w:r>
        <w:t xml:space="preserve">.</w:t>
      </w:r>
      <w:bookmarkEnd w:id="54"/>
      <w:r/>
      <w:r/>
    </w:p>
    <w:p>
      <w:pPr>
        <w:pStyle w:val="1069"/>
      </w:pPr>
      <w:r>
        <w:t xml:space="preserve">Однако, чтобы претендовать на победу в закупке Участник должен отвечать требованиям, установленным в</w:t>
      </w:r>
      <w:r>
        <w:t xml:space="preserve"> </w:t>
      </w:r>
      <w:r>
        <w:t xml:space="preserve">Документации о</w:t>
      </w:r>
      <w:r>
        <w:t xml:space="preserve"> </w:t>
      </w:r>
      <w:r>
        <w:t xml:space="preserve">закупке.</w:t>
      </w:r>
      <w:r/>
    </w:p>
    <w:p>
      <w:pPr>
        <w:pStyle w:val="1069"/>
      </w:pPr>
      <w:r>
        <w:t xml:space="preserve">Требования к Участникам установлены с учетом</w:t>
      </w:r>
      <w:r>
        <w:t xml:space="preserve"> предмета договора,</w:t>
      </w:r>
      <w:r>
        <w:t xml:space="preserve"> </w:t>
      </w:r>
      <w:hyperlink w:tooltip="#Прил01_ТехТребования" w:anchor="Прил01_ТехТребования" w:history="1">
        <w:r>
          <w:rPr>
            <w:rStyle w:val="1097"/>
          </w:rPr>
          <w:t xml:space="preserve">Технических требований (Приложение № 1)</w:t>
        </w:r>
      </w:hyperlink>
      <w:r>
        <w:t xml:space="preserve"> и </w:t>
      </w:r>
      <w:hyperlink w:tooltip="#Прил02_ПроектДоговора" w:anchor="Прил02_ПроектДоговора" w:history="1">
        <w:r>
          <w:rPr>
            <w:rStyle w:val="1097"/>
          </w:rPr>
          <w:t xml:space="preserve">Проекта договора (Приложение № 2)</w:t>
        </w:r>
      </w:hyperlink>
      <w:r>
        <w:t xml:space="preserve">. </w:t>
      </w:r>
      <w:r>
        <w:t xml:space="preserve">Если в подразделе</w:t>
      </w:r>
      <w:r>
        <w:t xml:space="preserve"> </w:t>
      </w:r>
      <w:r>
        <w:fldChar w:fldCharType="begin"/>
      </w:r>
      <w:r>
        <w:instrText xml:space="preserve"> REF _Ref125359973 \r \h </w:instrText>
      </w:r>
      <w:r>
        <w:fldChar w:fldCharType="separate"/>
      </w:r>
      <w:r>
        <w:t xml:space="preserve">1.2</w:t>
      </w:r>
      <w:r>
        <w:fldChar w:fldCharType="end"/>
      </w:r>
      <w:r>
        <w:t xml:space="preserve"> установлено, что национальный режим не</w:t>
      </w:r>
      <w:r>
        <w:t xml:space="preserve"> </w:t>
      </w:r>
      <w:r>
        <w:t xml:space="preserve">предоставляется, то требования к Участникам (в части страны его регистрации) также могут быть установлены в Структуре НМЦ (в составе Коммерческого предложения (форма</w:t>
      </w:r>
      <w:r>
        <w:t xml:space="preserve"> </w:t>
      </w:r>
      <w:r>
        <w:t xml:space="preserve">3) (</w:t>
      </w:r>
      <w:hyperlink w:tooltip="#Прил04_ФормыЗаявки" w:anchor="Прил04_ФормыЗаявки" w:history="1">
        <w:r>
          <w:rPr>
            <w:rStyle w:val="1097"/>
          </w:rPr>
          <w:t xml:space="preserve">Приложение № 4</w:t>
        </w:r>
      </w:hyperlink>
      <w:r>
        <w:t xml:space="preserve">))</w:t>
      </w:r>
      <w:r>
        <w:t xml:space="preserve">.</w:t>
      </w:r>
      <w:r/>
    </w:p>
    <w:p>
      <w:pPr>
        <w:pStyle w:val="1069"/>
        <w:keepNext/>
      </w:pPr>
      <w:r>
        <w:t xml:space="preserve">Установлены следующие т</w:t>
      </w:r>
      <w:r>
        <w:t xml:space="preserve">ребования к</w:t>
      </w:r>
      <w:r>
        <w:t xml:space="preserve"> </w:t>
      </w:r>
      <w:r>
        <w:t xml:space="preserve">Участникам</w:t>
      </w:r>
      <w:r>
        <w:t xml:space="preserve">, которые</w:t>
      </w:r>
      <w:r>
        <w:t xml:space="preserve"> </w:t>
      </w:r>
      <w:r>
        <w:t xml:space="preserve">приведены в</w:t>
      </w:r>
      <w:r>
        <w:t xml:space="preserve"> </w:t>
      </w:r>
      <w:hyperlink w:tooltip="#Прил03_ТребованияУчастникам" w:anchor="Прил03_ТребованияУчастникам" w:history="1">
        <w:r>
          <w:rPr>
            <w:rStyle w:val="1097"/>
          </w:rPr>
          <w:t xml:space="preserve">Приложении № 3</w:t>
        </w:r>
      </w:hyperlink>
      <w:r>
        <w:t xml:space="preserve">:</w:t>
      </w:r>
      <w:r/>
    </w:p>
    <w:p>
      <w:pPr>
        <w:pStyle w:val="1070"/>
      </w:pPr>
      <w:r>
        <w:t xml:space="preserve">обязательные требования (</w:t>
      </w:r>
      <w:r>
        <w:t xml:space="preserve">подраздел</w:t>
      </w:r>
      <w:r>
        <w:t xml:space="preserve"> </w:t>
      </w:r>
      <w:r>
        <w:fldChar w:fldCharType="begin"/>
      </w:r>
      <w:r>
        <w:instrText xml:space="preserve"> REF _Ref125361435 \r \h </w:instrText>
      </w:r>
      <w:r>
        <w:fldChar w:fldCharType="separate"/>
      </w:r>
      <w:r>
        <w:t xml:space="preserve">8.2</w:t>
      </w:r>
      <w:r>
        <w:fldChar w:fldCharType="end"/>
      </w:r>
      <w:r>
        <w:t xml:space="preserve">)</w:t>
      </w:r>
      <w:r>
        <w:t xml:space="preserve"> – Участник</w:t>
      </w:r>
      <w:r>
        <w:t xml:space="preserve">и</w:t>
      </w:r>
      <w:r>
        <w:t xml:space="preserve"> должны им соответствовать</w:t>
      </w:r>
      <w:r>
        <w:t xml:space="preserve">;</w:t>
      </w:r>
      <w:r/>
    </w:p>
    <w:p>
      <w:pPr>
        <w:pStyle w:val="1070"/>
      </w:pPr>
      <w:r>
        <w:t xml:space="preserve">специальные требования – </w:t>
      </w:r>
      <w:r>
        <w:t xml:space="preserve">Участники должны им соответствовать, если они </w:t>
      </w:r>
      <w:r>
        <w:t xml:space="preserve">установлены</w:t>
      </w:r>
      <w:r>
        <w:t xml:space="preserve"> (подраздел </w:t>
      </w:r>
      <w:r>
        <w:fldChar w:fldCharType="begin"/>
      </w:r>
      <w:r>
        <w:instrText xml:space="preserve"> REF _Ref125709153 \r \h </w:instrText>
      </w:r>
      <w:r>
        <w:fldChar w:fldCharType="separate"/>
      </w:r>
      <w:r>
        <w:t xml:space="preserve">8.3</w:t>
      </w:r>
      <w:r>
        <w:fldChar w:fldCharType="end"/>
      </w:r>
      <w:r>
        <w:t xml:space="preserve">)</w:t>
      </w:r>
      <w:r>
        <w:t xml:space="preserve">.</w:t>
      </w:r>
      <w:r/>
    </w:p>
    <w:p>
      <w:pPr>
        <w:pStyle w:val="1069"/>
        <w:keepNext/>
      </w:pPr>
      <w:r>
        <w:t xml:space="preserve">В</w:t>
      </w:r>
      <w:r>
        <w:t xml:space="preserve"> рамках требований к Участникам могут быть установлены</w:t>
      </w:r>
      <w:r>
        <w:t xml:space="preserve"> дополнительные требования</w:t>
      </w:r>
      <w:r>
        <w:t xml:space="preserve"> </w:t>
      </w:r>
      <w:r>
        <w:t xml:space="preserve">к Генеральным подрядчикам (подраздел </w:t>
      </w:r>
      <w:r>
        <w:fldChar w:fldCharType="begin"/>
      </w:r>
      <w:r>
        <w:instrText xml:space="preserve"> REF _Ref125361702 \r \h </w:instrText>
      </w:r>
      <w:r>
        <w:fldChar w:fldCharType="separate"/>
      </w:r>
      <w:r>
        <w:t xml:space="preserve">3.2</w:t>
      </w:r>
      <w:r>
        <w:fldChar w:fldCharType="end"/>
      </w:r>
      <w:r>
        <w:t xml:space="preserve">).</w:t>
      </w:r>
      <w:r/>
    </w:p>
    <w:p>
      <w:pPr>
        <w:pStyle w:val="1069"/>
      </w:pPr>
      <w:r/>
      <w:bookmarkStart w:id="55" w:name="_Ref125361969"/>
      <w:r/>
      <w:bookmarkStart w:id="56" w:name="_Ref125361976"/>
      <w:r>
        <w:t xml:space="preserve">Для подтверждения соответствия установленным требованиям Участник обязан приложить в составе заявки документы, перечисленные в </w:t>
      </w:r>
      <w:hyperlink w:tooltip="#Прил03_ТребованияУчастникам" w:anchor="Прил03_ТребованияУчастникам" w:history="1">
        <w:r>
          <w:rPr>
            <w:rStyle w:val="1097"/>
          </w:rPr>
          <w:t xml:space="preserve">Требованиях к Участникам (Приложение № 3)</w:t>
        </w:r>
      </w:hyperlink>
      <w:r>
        <w:t xml:space="preserve">,</w:t>
      </w:r>
      <w:r>
        <w:t xml:space="preserve"> если иное не установлено в Документации о</w:t>
      </w:r>
      <w:r>
        <w:t xml:space="preserve"> </w:t>
      </w:r>
      <w:r>
        <w:t xml:space="preserve">закупке</w:t>
      </w:r>
      <w:r>
        <w:t xml:space="preserve">.</w:t>
      </w:r>
      <w:r/>
    </w:p>
    <w:p>
      <w:pPr>
        <w:pStyle w:val="1068"/>
      </w:pPr>
      <w:r/>
      <w:bookmarkStart w:id="57" w:name="_Toc224744295"/>
      <w:r/>
      <w:bookmarkStart w:id="58" w:name="_Toc224744296"/>
      <w:r/>
      <w:bookmarkStart w:id="59" w:name="_Toc224744297"/>
      <w:r/>
      <w:bookmarkStart w:id="60" w:name="_Toc224744298"/>
      <w:r/>
      <w:bookmarkStart w:id="61" w:name="_Toc224744299"/>
      <w:r/>
      <w:bookmarkStart w:id="62" w:name="_Toc224744300"/>
      <w:r/>
      <w:bookmarkStart w:id="63" w:name="_Toc224744301"/>
      <w:r/>
      <w:bookmarkStart w:id="64" w:name="_Toc224744302"/>
      <w:r/>
      <w:bookmarkStart w:id="65" w:name="_Toc224744303"/>
      <w:r/>
      <w:bookmarkStart w:id="66" w:name="_Toc224744304"/>
      <w:r/>
      <w:bookmarkStart w:id="67" w:name="_Toc224744305"/>
      <w:r/>
      <w:bookmarkStart w:id="68" w:name="_Toc224744306"/>
      <w:r/>
      <w:bookmarkStart w:id="69" w:name="_Toc224744307"/>
      <w:r/>
      <w:bookmarkStart w:id="70" w:name="_Toc224744308"/>
      <w:r/>
      <w:bookmarkStart w:id="71" w:name="_Toc224744309"/>
      <w:r/>
      <w:bookmarkStart w:id="72" w:name="_Toc224744310"/>
      <w:r/>
      <w:bookmarkStart w:id="73" w:name="_Toc224744311"/>
      <w:r/>
      <w:bookmarkStart w:id="74" w:name="_Toc224744312"/>
      <w:r/>
      <w:bookmarkStart w:id="75" w:name="_Toc224744313"/>
      <w:r/>
      <w:bookmarkStart w:id="76" w:name="_Toc224744314"/>
      <w:r/>
      <w:bookmarkStart w:id="77" w:name="_Ref125361702"/>
      <w:r/>
      <w:bookmarkStart w:id="78" w:name="_Toc224744315"/>
      <w:r/>
      <w:bookmarkEnd w:id="55"/>
      <w:r/>
      <w:bookmarkEnd w:id="56"/>
      <w:r/>
      <w:bookmarkEnd w:id="57"/>
      <w:r/>
      <w:bookmarkEnd w:id="58"/>
      <w:r/>
      <w:bookmarkEnd w:id="59"/>
      <w:r/>
      <w:bookmarkEnd w:id="60"/>
      <w:r/>
      <w:bookmarkEnd w:id="61"/>
      <w:r/>
      <w:bookmarkEnd w:id="62"/>
      <w:r/>
      <w:bookmarkEnd w:id="63"/>
      <w:r/>
      <w:bookmarkEnd w:id="64"/>
      <w:r/>
      <w:bookmarkEnd w:id="65"/>
      <w:r/>
      <w:bookmarkEnd w:id="66"/>
      <w:r/>
      <w:bookmarkEnd w:id="67"/>
      <w:r/>
      <w:bookmarkEnd w:id="68"/>
      <w:r/>
      <w:bookmarkEnd w:id="69"/>
      <w:r/>
      <w:bookmarkEnd w:id="70"/>
      <w:r/>
      <w:bookmarkEnd w:id="71"/>
      <w:r/>
      <w:bookmarkEnd w:id="72"/>
      <w:r/>
      <w:bookmarkEnd w:id="73"/>
      <w:r/>
      <w:bookmarkEnd w:id="74"/>
      <w:r/>
      <w:bookmarkEnd w:id="75"/>
      <w:r/>
      <w:bookmarkEnd w:id="76"/>
      <w:r>
        <w:t xml:space="preserve">Генеральные подрядчики</w:t>
      </w:r>
      <w:bookmarkEnd w:id="77"/>
      <w:r/>
      <w:bookmarkEnd w:id="78"/>
      <w:r/>
      <w:r/>
    </w:p>
    <w:p>
      <w:pPr>
        <w:pStyle w:val="1069"/>
      </w:pPr>
      <w:r>
        <w:t xml:space="preserve">Нормы настоящего подраздела применяются только, если </w:t>
      </w:r>
      <w:r>
        <w:t xml:space="preserve">подразделом </w:t>
      </w:r>
      <w:r>
        <w:fldChar w:fldCharType="begin"/>
      </w:r>
      <w:r>
        <w:instrText xml:space="preserve"> REF _Ref125359973 \r \h </w:instrText>
      </w:r>
      <w:r>
        <w:fldChar w:fldCharType="separate"/>
      </w:r>
      <w:r>
        <w:t xml:space="preserve">1.2</w:t>
      </w:r>
      <w:r>
        <w:fldChar w:fldCharType="end"/>
      </w:r>
      <w:r>
        <w:t xml:space="preserve"> предусмотрено рассмотрение </w:t>
      </w:r>
      <w:r>
        <w:t xml:space="preserve">заявок Участников с</w:t>
      </w:r>
      <w:r>
        <w:t xml:space="preserve"> </w:t>
      </w:r>
      <w:r>
        <w:t xml:space="preserve">учетом привлекаемых субподрядчиков</w:t>
      </w:r>
      <w:r>
        <w:t xml:space="preserve">.</w:t>
      </w:r>
      <w:r/>
    </w:p>
    <w:p>
      <w:pPr>
        <w:pStyle w:val="1069"/>
      </w:pPr>
      <w:r>
        <w:t xml:space="preserve">Если заявка подается Участником от лица Генерального подрядчика</w:t>
      </w:r>
      <w:r>
        <w:t xml:space="preserve">, дополнительно должны быть выполнены требования настоящего подраздела, а</w:t>
      </w:r>
      <w:r>
        <w:t xml:space="preserve"> </w:t>
      </w:r>
      <w:r>
        <w:t xml:space="preserve">также требования к</w:t>
      </w:r>
      <w:r>
        <w:t xml:space="preserve"> </w:t>
      </w:r>
      <w:r>
        <w:t xml:space="preserve">дополнительным документам, предоставляемым таким Участником в составе заявки, установленные в </w:t>
      </w:r>
      <w:r>
        <w:t xml:space="preserve">подразделе </w:t>
      </w:r>
      <w:r>
        <w:fldChar w:fldCharType="begin"/>
      </w:r>
      <w:r>
        <w:instrText xml:space="preserve"> REF _Ref125709777 \r \h </w:instrText>
      </w:r>
      <w:r>
        <w:fldChar w:fldCharType="separate"/>
      </w:r>
      <w:r>
        <w:t xml:space="preserve">8.4</w:t>
      </w:r>
      <w:r>
        <w:fldChar w:fldCharType="end"/>
      </w:r>
      <w:r>
        <w:t xml:space="preserve"> </w:t>
      </w:r>
      <w:hyperlink w:tooltip="#Прил03_ТребованияУчастникам" w:anchor="Прил03_ТребованияУчастникам" w:history="1">
        <w:r>
          <w:rPr>
            <w:rStyle w:val="1097"/>
          </w:rPr>
          <w:t xml:space="preserve">Требований к Участникам (Приложение № 3)</w:t>
        </w:r>
      </w:hyperlink>
      <w:r>
        <w:t xml:space="preserve">.</w:t>
      </w:r>
      <w:r/>
    </w:p>
    <w:p>
      <w:pPr>
        <w:pStyle w:val="1069"/>
        <w:keepNext/>
      </w:pPr>
      <w:r>
        <w:t xml:space="preserve">Генеральный подрядчик</w:t>
      </w:r>
      <w:r>
        <w:t xml:space="preserve">:</w:t>
      </w:r>
      <w:r/>
    </w:p>
    <w:p>
      <w:pPr>
        <w:pStyle w:val="1070"/>
      </w:pPr>
      <w:r>
        <w:t xml:space="preserve">должен самостоятельно </w:t>
      </w:r>
      <w:r>
        <w:t xml:space="preserve">отвечать всем обязательным требованиям к</w:t>
      </w:r>
      <w:r>
        <w:t xml:space="preserve"> </w:t>
      </w:r>
      <w:r>
        <w:t xml:space="preserve">Участникам </w:t>
      </w:r>
      <w:r>
        <w:t xml:space="preserve">(подраздел </w:t>
      </w:r>
      <w:r>
        <w:fldChar w:fldCharType="begin"/>
      </w:r>
      <w:r>
        <w:instrText xml:space="preserve"> REF _Ref125361435 \r \h </w:instrText>
      </w:r>
      <w:r>
        <w:fldChar w:fldCharType="separate"/>
      </w:r>
      <w:r>
        <w:t xml:space="preserve">8.2</w:t>
      </w:r>
      <w:r>
        <w:fldChar w:fldCharType="end"/>
      </w:r>
      <w:r>
        <w:t xml:space="preserve">)</w:t>
      </w:r>
      <w:r>
        <w:t xml:space="preserve">;</w:t>
      </w:r>
      <w:r/>
    </w:p>
    <w:p>
      <w:pPr>
        <w:pStyle w:val="1070"/>
      </w:pPr>
      <w:r>
        <w:t xml:space="preserve">в рамках специальных требований</w:t>
      </w:r>
      <w:r>
        <w:t xml:space="preserve"> (подраздел </w:t>
      </w:r>
      <w:r>
        <w:fldChar w:fldCharType="begin"/>
      </w:r>
      <w:r>
        <w:instrText xml:space="preserve"> REF _Ref125709153 \r \h </w:instrText>
      </w:r>
      <w:r>
        <w:fldChar w:fldCharType="separate"/>
      </w:r>
      <w:r>
        <w:t xml:space="preserve">8.3</w:t>
      </w:r>
      <w:r>
        <w:fldChar w:fldCharType="end"/>
      </w:r>
      <w:r>
        <w:t xml:space="preserve">)</w:t>
      </w:r>
      <w:r>
        <w:t xml:space="preserve">, касающихся членства в саморегулируемых </w:t>
      </w:r>
      <w:r>
        <w:t xml:space="preserve">организациях</w:t>
      </w:r>
      <w:r>
        <w:t xml:space="preserve"> </w:t>
      </w:r>
      <w:r>
        <w:t xml:space="preserve">(</w:t>
      </w:r>
      <w:r>
        <w:t xml:space="preserve">в </w:t>
      </w:r>
      <w:r>
        <w:t xml:space="preserve">случае их установления</w:t>
      </w:r>
      <w:r>
        <w:t xml:space="preserve">)</w:t>
      </w:r>
      <w:r>
        <w:t xml:space="preserve">, </w:t>
      </w:r>
      <w:r>
        <w:t xml:space="preserve">должен </w:t>
      </w:r>
      <w:r>
        <w:t xml:space="preserve">иметь </w:t>
      </w:r>
      <w:r>
        <w:t xml:space="preserve">соответствующ</w:t>
      </w:r>
      <w:r>
        <w:t xml:space="preserve">е</w:t>
      </w:r>
      <w:r>
        <w:t xml:space="preserve">е </w:t>
      </w:r>
      <w:r>
        <w:t xml:space="preserve">членство </w:t>
      </w:r>
      <w:r>
        <w:t xml:space="preserve">с учетом требований</w:t>
      </w:r>
      <w:r>
        <w:t xml:space="preserve"> </w:t>
      </w:r>
      <w:r>
        <w:t xml:space="preserve">законодательств</w:t>
      </w:r>
      <w:r>
        <w:t xml:space="preserve">а</w:t>
      </w:r>
      <w:r>
        <w:t xml:space="preserve"> </w:t>
      </w:r>
      <w:r>
        <w:t xml:space="preserve">к</w:t>
      </w:r>
      <w:r>
        <w:t xml:space="preserve"> </w:t>
      </w:r>
      <w:r>
        <w:t xml:space="preserve">такому членству</w:t>
      </w:r>
      <w:r>
        <w:t xml:space="preserve">;</w:t>
      </w:r>
      <w:r/>
    </w:p>
    <w:p>
      <w:pPr>
        <w:pStyle w:val="1070"/>
      </w:pPr>
      <w:r>
        <w:t xml:space="preserve">в рамках </w:t>
      </w:r>
      <w:r>
        <w:t xml:space="preserve">остальны</w:t>
      </w:r>
      <w:r>
        <w:t xml:space="preserve">х</w:t>
      </w:r>
      <w:r>
        <w:t xml:space="preserve"> специальны</w:t>
      </w:r>
      <w:r>
        <w:t xml:space="preserve">х</w:t>
      </w:r>
      <w:r>
        <w:t xml:space="preserve"> требовани</w:t>
      </w:r>
      <w:r>
        <w:t xml:space="preserve">й</w:t>
      </w:r>
      <w:r>
        <w:t xml:space="preserve"> </w:t>
      </w:r>
      <w:r>
        <w:t xml:space="preserve">(</w:t>
      </w:r>
      <w:r>
        <w:t xml:space="preserve">в </w:t>
      </w:r>
      <w:r>
        <w:t xml:space="preserve">случае их установления</w:t>
      </w:r>
      <w:r>
        <w:t xml:space="preserve">)</w:t>
      </w:r>
      <w:r>
        <w:t xml:space="preserve"> </w:t>
      </w:r>
      <w:r>
        <w:t xml:space="preserve">должен отвечать</w:t>
      </w:r>
      <w:r>
        <w:t xml:space="preserve"> </w:t>
      </w:r>
      <w:r>
        <w:t xml:space="preserve">им </w:t>
      </w:r>
      <w:r>
        <w:t xml:space="preserve">только в</w:t>
      </w:r>
      <w:r>
        <w:t xml:space="preserve"> </w:t>
      </w:r>
      <w:r>
        <w:t xml:space="preserve">части объема поставки продукции, который ему </w:t>
      </w:r>
      <w:r>
        <w:t xml:space="preserve">предполагается поручить в</w:t>
      </w:r>
      <w:r>
        <w:t xml:space="preserve"> </w:t>
      </w:r>
      <w:r>
        <w:t xml:space="preserve">соответствии с</w:t>
      </w:r>
      <w:r>
        <w:t xml:space="preserve"> представленным в Техническом предложении</w:t>
      </w:r>
      <w:r>
        <w:t xml:space="preserve"> </w:t>
      </w:r>
      <w:r>
        <w:t xml:space="preserve">Планом распределения объемов поставки продукции (форма </w:t>
      </w:r>
      <w:r>
        <w:t xml:space="preserve">4</w:t>
      </w:r>
      <w:r>
        <w:t xml:space="preserve">) (</w:t>
      </w:r>
      <w:hyperlink w:tooltip="#Прил04_ФормыЗаявки" w:anchor="Прил04_ФормыЗаявки" w:history="1">
        <w:r>
          <w:rPr>
            <w:rStyle w:val="1097"/>
          </w:rPr>
          <w:t xml:space="preserve">Приложение № </w:t>
        </w:r>
        <w:r>
          <w:rPr>
            <w:rStyle w:val="1097"/>
          </w:rPr>
          <w:t xml:space="preserve">4</w:t>
        </w:r>
      </w:hyperlink>
      <w:r>
        <w:t xml:space="preserve">).</w:t>
      </w:r>
      <w:r/>
    </w:p>
    <w:p>
      <w:pPr>
        <w:pStyle w:val="1069"/>
        <w:keepNext/>
      </w:pPr>
      <w:r/>
      <w:bookmarkStart w:id="79" w:name="_Ref125368863"/>
      <w:r>
        <w:t xml:space="preserve">Каждый </w:t>
      </w:r>
      <w:r>
        <w:t xml:space="preserve">субподрядчик </w:t>
      </w:r>
      <w:r>
        <w:t xml:space="preserve">из </w:t>
      </w:r>
      <w:r>
        <w:t xml:space="preserve">привлекаемы</w:t>
      </w:r>
      <w:r>
        <w:t xml:space="preserve">х</w:t>
      </w:r>
      <w:r>
        <w:t xml:space="preserve"> </w:t>
      </w:r>
      <w:r>
        <w:t xml:space="preserve">Генеральным подрядчиком </w:t>
      </w:r>
      <w:r>
        <w:t xml:space="preserve">должен</w:t>
      </w:r>
      <w:r>
        <w:t xml:space="preserve"> отвечать:</w:t>
      </w:r>
      <w:r/>
    </w:p>
    <w:p>
      <w:pPr>
        <w:pStyle w:val="1070"/>
      </w:pPr>
      <w:r>
        <w:t xml:space="preserve">обязательным </w:t>
      </w:r>
      <w:r>
        <w:t xml:space="preserve">требованиям</w:t>
      </w:r>
      <w:r>
        <w:t xml:space="preserve"> (подраздел </w:t>
      </w:r>
      <w:r>
        <w:fldChar w:fldCharType="begin"/>
      </w:r>
      <w:r>
        <w:instrText xml:space="preserve"> REF _Ref125361435 \r \h </w:instrText>
      </w:r>
      <w:r>
        <w:instrText xml:space="preserve"> \* MERGEFORMAT </w:instrText>
      </w:r>
      <w:r>
        <w:fldChar w:fldCharType="separate"/>
      </w:r>
      <w:r>
        <w:t xml:space="preserve">8.2</w:t>
      </w:r>
      <w:r>
        <w:fldChar w:fldCharType="end"/>
      </w:r>
      <w:r>
        <w:t xml:space="preserve">)</w:t>
      </w:r>
      <w:r>
        <w:t xml:space="preserve">;</w:t>
      </w:r>
      <w:r/>
    </w:p>
    <w:p>
      <w:pPr>
        <w:pStyle w:val="1070"/>
      </w:pPr>
      <w:r>
        <w:t xml:space="preserve">специальным требованиям (подраздел </w:t>
      </w:r>
      <w:r>
        <w:fldChar w:fldCharType="begin"/>
      </w:r>
      <w:r>
        <w:instrText xml:space="preserve"> REF _Ref125709153 \r \h </w:instrText>
      </w:r>
      <w:r>
        <w:instrText xml:space="preserve"> \* MERGEFORMAT </w:instrText>
      </w:r>
      <w:r>
        <w:fldChar w:fldCharType="separate"/>
      </w:r>
      <w:r>
        <w:t xml:space="preserve">8.3</w:t>
      </w:r>
      <w:r>
        <w:fldChar w:fldCharType="end"/>
      </w:r>
      <w:r>
        <w:t xml:space="preserve">)</w:t>
      </w:r>
      <w:r>
        <w:t xml:space="preserve"> </w:t>
      </w:r>
      <w:r>
        <w:t xml:space="preserve">(</w:t>
      </w:r>
      <w:r>
        <w:t xml:space="preserve">в </w:t>
      </w:r>
      <w:r>
        <w:t xml:space="preserve">случае их установления</w:t>
      </w:r>
      <w:r>
        <w:t xml:space="preserve">),</w:t>
      </w:r>
      <w:r>
        <w:t xml:space="preserve"> </w:t>
      </w:r>
      <w:r>
        <w:t xml:space="preserve">за</w:t>
      </w:r>
      <w:r>
        <w:t xml:space="preserve"> </w:t>
      </w:r>
      <w:r>
        <w:t xml:space="preserve">исключением требования о наличии членства в саморегулируемых организациях</w:t>
      </w:r>
      <w:r>
        <w:t xml:space="preserve">.</w:t>
      </w:r>
      <w:r/>
    </w:p>
    <w:p>
      <w:pPr>
        <w:pStyle w:val="1073"/>
        <w:ind w:left="1134"/>
      </w:pPr>
      <w:r>
        <w:t xml:space="preserve">При этом </w:t>
      </w:r>
      <w:r>
        <w:t xml:space="preserve">соответствовать</w:t>
      </w:r>
      <w:r>
        <w:t xml:space="preserve"> </w:t>
      </w:r>
      <w:r>
        <w:t xml:space="preserve">специальным</w:t>
      </w:r>
      <w:r>
        <w:t xml:space="preserve"> </w:t>
      </w:r>
      <w:r>
        <w:t xml:space="preserve">требованиям субподрядчик</w:t>
      </w:r>
      <w:r>
        <w:t xml:space="preserve"> </w:t>
      </w:r>
      <w:r>
        <w:t xml:space="preserve">должен</w:t>
      </w:r>
      <w:r>
        <w:t xml:space="preserve"> только в</w:t>
      </w:r>
      <w:r>
        <w:t xml:space="preserve"> </w:t>
      </w:r>
      <w:r>
        <w:t xml:space="preserve">части объема поставки продукции, который ему </w:t>
      </w:r>
      <w:r>
        <w:t xml:space="preserve">поручен</w:t>
      </w:r>
      <w:r>
        <w:t xml:space="preserve"> </w:t>
      </w:r>
      <w:bookmarkEnd w:id="79"/>
      <w:r>
        <w:t xml:space="preserve">в</w:t>
      </w:r>
      <w:r>
        <w:t xml:space="preserve"> </w:t>
      </w:r>
      <w:r>
        <w:t xml:space="preserve">соответствии с</w:t>
      </w:r>
      <w:r>
        <w:t xml:space="preserve"> представленным в Техническом предложении</w:t>
      </w:r>
      <w:r>
        <w:t xml:space="preserve"> Планом распределения объемов поставки продукции (форма </w:t>
      </w:r>
      <w:r>
        <w:t xml:space="preserve">4</w:t>
      </w:r>
      <w:r>
        <w:t xml:space="preserve">) (</w:t>
      </w:r>
      <w:hyperlink w:tooltip="#Прил04_ФормыЗаявки" w:anchor="Прил04_ФормыЗаявки" w:history="1">
        <w:r>
          <w:rPr>
            <w:rStyle w:val="1097"/>
          </w:rPr>
          <w:t xml:space="preserve">Приложение № </w:t>
        </w:r>
        <w:r>
          <w:rPr>
            <w:rStyle w:val="1097"/>
          </w:rPr>
          <w:t xml:space="preserve">4</w:t>
        </w:r>
      </w:hyperlink>
      <w:r>
        <w:t xml:space="preserve">).</w:t>
      </w:r>
      <w:r/>
    </w:p>
    <w:p>
      <w:pPr>
        <w:pStyle w:val="1069"/>
      </w:pPr>
      <w:r/>
      <w:bookmarkStart w:id="80" w:name="_Ref125361799"/>
      <w:r>
        <w:t xml:space="preserve">Любое юридическое или физическое лицо (в том числе индивидуальный предприниматель) может являться субподрядчиком у произвольного числа Генер</w:t>
      </w:r>
      <w:r>
        <w:t xml:space="preserve">альных подрядчиков, а также имеет право самостоятельно принимать участие в закупке. Каждый Генеральный подрядчик может подать только одну заявку и не может быть субподрядчиком у других Генеральных подрядчиков. В случае невыполнения этих требований заявки с</w:t>
      </w:r>
      <w:r>
        <w:t xml:space="preserve"> </w:t>
      </w:r>
      <w:r>
        <w:t xml:space="preserve">участием таких </w:t>
      </w:r>
      <w:r>
        <w:t xml:space="preserve">лиц</w:t>
      </w:r>
      <w:r>
        <w:t xml:space="preserve"> будут отклонены.</w:t>
      </w:r>
      <w:bookmarkEnd w:id="80"/>
      <w:r/>
      <w:r/>
    </w:p>
    <w:p>
      <w:pPr>
        <w:pStyle w:val="1069"/>
      </w:pPr>
      <w:r>
        <w:t xml:space="preserve">Если подразделом </w:t>
      </w:r>
      <w:r>
        <w:fldChar w:fldCharType="begin"/>
      </w:r>
      <w:r>
        <w:instrText xml:space="preserve"> REF _Ref125359973 \r \h </w:instrText>
      </w:r>
      <w:r>
        <w:fldChar w:fldCharType="separate"/>
      </w:r>
      <w:r>
        <w:t xml:space="preserve">1.2</w:t>
      </w:r>
      <w:r>
        <w:fldChar w:fldCharType="end"/>
      </w:r>
      <w:r>
        <w:t xml:space="preserve"> не предусмотрен</w:t>
      </w:r>
      <w:r>
        <w:t xml:space="preserve">о</w:t>
      </w:r>
      <w:r>
        <w:t xml:space="preserve"> рассмотрение </w:t>
      </w:r>
      <w:r>
        <w:t xml:space="preserve">заявок Участников с</w:t>
      </w:r>
      <w:r>
        <w:t xml:space="preserve"> </w:t>
      </w:r>
      <w:r>
        <w:t xml:space="preserve">учетом привлекаемых субподрядчиков</w:t>
      </w:r>
      <w:r>
        <w:t xml:space="preserve">, то при рассмотрении заявок к учету принимаются исключительно сведения о самом Участник</w:t>
      </w:r>
      <w:r>
        <w:t xml:space="preserve">е</w:t>
      </w:r>
      <w:r>
        <w:t xml:space="preserve">, в</w:t>
      </w:r>
      <w:r>
        <w:t xml:space="preserve"> </w:t>
      </w:r>
      <w:r>
        <w:t xml:space="preserve">связи с</w:t>
      </w:r>
      <w:r>
        <w:t xml:space="preserve"> </w:t>
      </w:r>
      <w:r>
        <w:t xml:space="preserve">чем Участник не обязан предоставлять документы на</w:t>
      </w:r>
      <w:r>
        <w:t xml:space="preserve"> </w:t>
      </w:r>
      <w:r>
        <w:t xml:space="preserve">привлекаемых им</w:t>
      </w:r>
      <w:r>
        <w:t xml:space="preserve"> </w:t>
      </w:r>
      <w:r>
        <w:t xml:space="preserve">субподрядчиков, указанные в подразделе</w:t>
      </w:r>
      <w:r>
        <w:t xml:space="preserve"> </w:t>
      </w:r>
      <w:r>
        <w:fldChar w:fldCharType="begin"/>
      </w:r>
      <w:r>
        <w:instrText xml:space="preserve"> REF _Ref125709973 \r \h </w:instrText>
      </w:r>
      <w:r>
        <w:fldChar w:fldCharType="separate"/>
      </w:r>
      <w:r>
        <w:t xml:space="preserve">8.4</w:t>
      </w:r>
      <w:r>
        <w:fldChar w:fldCharType="end"/>
      </w:r>
      <w:r>
        <w:t xml:space="preserve"> </w:t>
      </w:r>
      <w:hyperlink w:tooltip="#Прил03_ТребованияУчастникам" w:anchor="Прил03_ТребованияУчастникам" w:history="1">
        <w:r>
          <w:rPr>
            <w:rStyle w:val="1097"/>
          </w:rPr>
          <w:t xml:space="preserve">Требований к Участникам (Приложение № 3)</w:t>
        </w:r>
      </w:hyperlink>
      <w:r>
        <w:t xml:space="preserve">.Ответственность за</w:t>
      </w:r>
      <w:r>
        <w:t xml:space="preserve"> </w:t>
      </w:r>
      <w:r>
        <w:t xml:space="preserve">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r/>
    </w:p>
    <w:p>
      <w:pPr>
        <w:pStyle w:val="1069"/>
        <w:sectPr>
          <w:headerReference w:type="default" r:id="rId9"/>
          <w:footerReference w:type="default" r:id="rId10"/>
          <w:footnotePr/>
          <w:endnotePr/>
          <w:type w:val="nextPage"/>
          <w:pgSz w:w="11906" w:h="16838" w:orient="portrait"/>
          <w:pgMar w:top="851" w:right="850" w:bottom="851" w:left="1134" w:header="567" w:footer="567" w:gutter="0"/>
          <w:cols w:num="1" w:sep="0" w:space="708" w:equalWidth="1"/>
          <w:docGrid w:linePitch="360"/>
        </w:sectPr>
      </w:pPr>
      <w:r/>
      <w:r/>
    </w:p>
    <w:p>
      <w:pPr>
        <w:pStyle w:val="1067"/>
      </w:pPr>
      <w:r/>
      <w:bookmarkStart w:id="81" w:name="_Ref125361211"/>
      <w:r/>
      <w:bookmarkStart w:id="82" w:name="_Ref125367098"/>
      <w:r/>
      <w:bookmarkStart w:id="83" w:name="_Ref125367107"/>
      <w:r/>
      <w:bookmarkStart w:id="84" w:name="_Ref125367974"/>
      <w:r/>
      <w:bookmarkStart w:id="85" w:name="_Toc224744316"/>
      <w:r>
        <w:t xml:space="preserve">Порядок проведения закупки</w:t>
      </w:r>
      <w:bookmarkEnd w:id="81"/>
      <w:r/>
      <w:bookmarkEnd w:id="82"/>
      <w:r/>
      <w:bookmarkEnd w:id="83"/>
      <w:r/>
      <w:bookmarkEnd w:id="84"/>
      <w:r/>
      <w:bookmarkEnd w:id="85"/>
      <w:r/>
      <w:r/>
    </w:p>
    <w:p>
      <w:pPr>
        <w:pStyle w:val="1068"/>
      </w:pPr>
      <w:r/>
      <w:bookmarkStart w:id="86" w:name="_Ref126141932"/>
      <w:r/>
      <w:bookmarkStart w:id="87" w:name="_Toc224744317"/>
      <w:r>
        <w:t xml:space="preserve">Общий порядок проведения закупки</w:t>
      </w:r>
      <w:bookmarkEnd w:id="86"/>
      <w:r/>
      <w:bookmarkEnd w:id="87"/>
      <w:r/>
      <w:r/>
    </w:p>
    <w:p>
      <w:pPr>
        <w:pStyle w:val="1069"/>
        <w:keepNext/>
        <w:spacing w:after="120"/>
      </w:pPr>
      <w:r>
        <w:t xml:space="preserve">Закупка проводится в следующем порядке:</w:t>
      </w:r>
      <w:r/>
    </w:p>
    <w:tbl>
      <w:tblPr>
        <w:tblStyle w:val="1094"/>
        <w:tblW w:w="14003" w:type="dxa"/>
        <w:tblInd w:w="1129" w:type="dxa"/>
        <w:tblLayout w:type="fixed"/>
        <w:tblCellMar>
          <w:left w:w="0" w:type="dxa"/>
          <w:right w:w="0" w:type="dxa"/>
        </w:tblCellMar>
        <w:tblLook w:val="04A0" w:firstRow="1" w:lastRow="0" w:firstColumn="1" w:lastColumn="0" w:noHBand="0" w:noVBand="1"/>
      </w:tblPr>
      <w:tblGrid>
        <w:gridCol w:w="430"/>
        <w:gridCol w:w="1984"/>
        <w:gridCol w:w="1348"/>
        <w:gridCol w:w="3335"/>
        <w:gridCol w:w="2408"/>
        <w:gridCol w:w="2267"/>
        <w:gridCol w:w="2231"/>
      </w:tblGrid>
      <w:tr>
        <w:tblPrEx/>
        <w:trPr/>
        <w:tc>
          <w:tcPr>
            <w:tcBorders>
              <w:left w:val="none" w:color="000000" w:sz="4" w:space="0"/>
            </w:tcBorders>
            <w:tcW w:w="430" w:type="dxa"/>
            <w:vAlign w:val="bottom"/>
            <w:textDirection w:val="lrTb"/>
            <w:noWrap w:val="false"/>
          </w:tcPr>
          <w:p>
            <w:pPr>
              <w:pStyle w:val="1073"/>
              <w:jc w:val="center"/>
              <w:spacing w:before="40" w:after="40"/>
              <w:rPr>
                <w:b w:val="0"/>
                <w:bCs/>
                <w:sz w:val="24"/>
                <w:szCs w:val="24"/>
              </w:rPr>
            </w:pPr>
            <w:r>
              <w:rPr>
                <w:rFonts w:ascii="Wingdings 3" w:hAnsi="Wingdings 3" w:eastAsia="Wingdings 3" w:cs="Wingdings 3"/>
                <w:b w:val="0"/>
                <w:bCs/>
                <w:sz w:val="24"/>
                <w:szCs w:val="24"/>
              </w:rPr>
              <w:t xml:space="preserve">Ô</w:t>
            </w:r>
            <w:r>
              <w:rPr>
                <w:b w:val="0"/>
                <w:bCs/>
                <w:sz w:val="24"/>
                <w:szCs w:val="24"/>
              </w:rPr>
            </w:r>
            <w:r>
              <w:rPr>
                <w:b w:val="0"/>
                <w:bCs/>
                <w:sz w:val="24"/>
                <w:szCs w:val="24"/>
              </w:rPr>
            </w:r>
          </w:p>
        </w:tc>
        <w:tc>
          <w:tcPr>
            <w:gridSpan w:val="6"/>
            <w:tcBorders>
              <w:right w:val="none" w:color="000000" w:sz="4" w:space="0"/>
            </w:tcBorders>
            <w:tcW w:w="13573" w:type="dxa"/>
            <w:textDirection w:val="lrTb"/>
            <w:noWrap w:val="false"/>
          </w:tcPr>
          <w:p>
            <w:pPr>
              <w:pStyle w:val="1073"/>
              <w:jc w:val="center"/>
              <w:spacing w:before="40" w:after="40"/>
              <w:rPr>
                <w:b w:val="0"/>
                <w:bCs/>
                <w:sz w:val="24"/>
                <w:szCs w:val="24"/>
              </w:rPr>
            </w:pPr>
            <w:r>
              <w:rPr>
                <w:b w:val="0"/>
                <w:bCs/>
                <w:sz w:val="24"/>
                <w:szCs w:val="24"/>
              </w:rPr>
              <w:t xml:space="preserve">Официальное размещение Извещения и Документации о закупке</w:t>
            </w:r>
            <w:r>
              <w:rPr>
                <w:b w:val="0"/>
                <w:bCs/>
                <w:sz w:val="24"/>
                <w:szCs w:val="24"/>
              </w:rPr>
              <w:t xml:space="preserve"> </w:t>
            </w:r>
            <w:r>
              <w:rPr>
                <w:b w:val="0"/>
                <w:bCs/>
                <w:sz w:val="24"/>
                <w:szCs w:val="24"/>
              </w:rPr>
              <w:t xml:space="preserve">(подраздел </w:t>
            </w:r>
            <w:r>
              <w:rPr>
                <w:bCs/>
                <w:sz w:val="24"/>
                <w:szCs w:val="24"/>
              </w:rPr>
              <w:fldChar w:fldCharType="begin"/>
            </w:r>
            <w:r>
              <w:rPr>
                <w:b w:val="0"/>
                <w:bCs/>
                <w:sz w:val="24"/>
                <w:szCs w:val="24"/>
              </w:rPr>
              <w:instrText xml:space="preserve"> REF _Ref130286532 \r \h </w:instrText>
            </w:r>
            <w:r>
              <w:rPr>
                <w:bCs/>
                <w:sz w:val="24"/>
                <w:szCs w:val="24"/>
              </w:rPr>
              <w:instrText xml:space="preserve"> \* MERGEFORMAT </w:instrText>
            </w:r>
            <w:r>
              <w:rPr>
                <w:bCs/>
                <w:sz w:val="24"/>
                <w:szCs w:val="24"/>
              </w:rPr>
              <w:fldChar w:fldCharType="separate"/>
            </w:r>
            <w:r>
              <w:rPr>
                <w:b w:val="0"/>
                <w:bCs/>
                <w:sz w:val="24"/>
                <w:szCs w:val="24"/>
              </w:rPr>
              <w:t xml:space="preserve">4.2</w:t>
            </w:r>
            <w:r>
              <w:rPr>
                <w:bCs/>
                <w:sz w:val="24"/>
                <w:szCs w:val="24"/>
              </w:rPr>
              <w:fldChar w:fldCharType="end"/>
            </w:r>
            <w:r>
              <w:rPr>
                <w:b w:val="0"/>
                <w:bCs/>
                <w:sz w:val="24"/>
                <w:szCs w:val="24"/>
              </w:rPr>
              <w:t xml:space="preserve">)</w:t>
            </w:r>
            <w:r>
              <w:rPr>
                <w:b w:val="0"/>
                <w:bCs/>
                <w:sz w:val="24"/>
                <w:szCs w:val="24"/>
              </w:rPr>
            </w:r>
            <w:r>
              <w:rPr>
                <w:b w:val="0"/>
                <w:bCs/>
                <w:sz w:val="24"/>
                <w:szCs w:val="24"/>
              </w:rPr>
            </w:r>
          </w:p>
        </w:tc>
      </w:tr>
      <w:tr>
        <w:tblPrEx/>
        <w:trPr/>
        <w:tc>
          <w:tcPr>
            <w:tcBorders>
              <w:left w:val="none" w:color="000000" w:sz="4" w:space="0"/>
            </w:tcBorders>
            <w:tcW w:w="430" w:type="dxa"/>
            <w:vAlign w:val="bottom"/>
            <w:textDirection w:val="lrTb"/>
            <w:noWrap w:val="false"/>
          </w:tcPr>
          <w:p>
            <w:pPr>
              <w:pStyle w:val="1073"/>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3"/>
            <w:tcW w:w="6667" w:type="dxa"/>
            <w:textDirection w:val="lrTb"/>
            <w:noWrap w:val="false"/>
          </w:tcPr>
          <w:p>
            <w:pPr>
              <w:pStyle w:val="1073"/>
              <w:jc w:val="center"/>
              <w:spacing w:before="40" w:after="40"/>
              <w:rPr>
                <w:bCs/>
                <w:sz w:val="24"/>
                <w:szCs w:val="24"/>
              </w:rPr>
            </w:pPr>
            <w:r>
              <w:rPr>
                <w:bCs/>
                <w:sz w:val="24"/>
                <w:szCs w:val="24"/>
              </w:rPr>
              <w:t xml:space="preserve">Подготовка заявки</w:t>
            </w:r>
            <w:r>
              <w:rPr>
                <w:bCs/>
                <w:sz w:val="24"/>
                <w:szCs w:val="24"/>
              </w:rPr>
              <w:t xml:space="preserve"> </w:t>
            </w:r>
            <w:r>
              <w:rPr>
                <w:bCs/>
                <w:sz w:val="24"/>
                <w:szCs w:val="24"/>
              </w:rPr>
              <w:t xml:space="preserve">(раздел </w:t>
            </w:r>
            <w:r>
              <w:rPr>
                <w:bCs/>
                <w:sz w:val="24"/>
                <w:szCs w:val="24"/>
              </w:rPr>
              <w:fldChar w:fldCharType="begin"/>
            </w:r>
            <w:r>
              <w:rPr>
                <w:bCs/>
                <w:sz w:val="24"/>
                <w:szCs w:val="24"/>
              </w:rPr>
              <w:instrText xml:space="preserve"> REF _Ref130281199 \r \h </w:instrText>
            </w:r>
            <w:r>
              <w:rPr>
                <w:bCs/>
                <w:sz w:val="24"/>
                <w:szCs w:val="24"/>
              </w:rPr>
              <w:instrText xml:space="preserve"> \* MERGEFORMAT </w:instrText>
            </w:r>
            <w:r>
              <w:rPr>
                <w:bCs/>
                <w:sz w:val="24"/>
                <w:szCs w:val="24"/>
              </w:rPr>
              <w:fldChar w:fldCharType="separate"/>
            </w:r>
            <w:r>
              <w:rPr>
                <w:bCs/>
                <w:sz w:val="24"/>
                <w:szCs w:val="24"/>
              </w:rPr>
              <w:t xml:space="preserve">4.3</w:t>
            </w:r>
            <w:r>
              <w:rPr>
                <w:bCs/>
                <w:sz w:val="24"/>
                <w:szCs w:val="24"/>
              </w:rPr>
              <w:fldChar w:fldCharType="end"/>
            </w:r>
            <w:r>
              <w:rPr>
                <w:bCs/>
                <w:sz w:val="24"/>
                <w:szCs w:val="24"/>
              </w:rPr>
              <w:t xml:space="preserve">)</w:t>
            </w:r>
            <w:r>
              <w:rPr>
                <w:bCs/>
                <w:sz w:val="24"/>
                <w:szCs w:val="24"/>
              </w:rPr>
            </w:r>
            <w:r>
              <w:rPr>
                <w:bCs/>
                <w:sz w:val="24"/>
                <w:szCs w:val="24"/>
              </w:rPr>
            </w:r>
          </w:p>
        </w:tc>
        <w:tc>
          <w:tcPr>
            <w:tcW w:w="2408" w:type="dxa"/>
            <w:vMerge w:val="restart"/>
            <w:textDirection w:val="lrTb"/>
            <w:noWrap w:val="false"/>
          </w:tcPr>
          <w:p>
            <w:pPr>
              <w:pStyle w:val="1073"/>
              <w:jc w:val="center"/>
              <w:spacing w:before="40" w:after="40"/>
              <w:rPr>
                <w:bCs/>
                <w:sz w:val="24"/>
                <w:szCs w:val="24"/>
              </w:rPr>
            </w:pPr>
            <w:r>
              <w:rPr>
                <w:bCs/>
                <w:sz w:val="24"/>
                <w:szCs w:val="24"/>
              </w:rPr>
              <w:t xml:space="preserve">Предоставление разъяснений положений Документации о закупке</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_Ref130394802 \r \h </w:instrText>
            </w:r>
            <w:r>
              <w:rPr>
                <w:bCs/>
                <w:sz w:val="24"/>
                <w:szCs w:val="24"/>
              </w:rPr>
              <w:instrText xml:space="preserve"> \* MERGEFORMAT </w:instrText>
            </w:r>
            <w:r>
              <w:rPr>
                <w:bCs/>
                <w:sz w:val="24"/>
                <w:szCs w:val="24"/>
              </w:rPr>
              <w:fldChar w:fldCharType="separate"/>
            </w:r>
            <w:r>
              <w:rPr>
                <w:bCs/>
                <w:sz w:val="24"/>
                <w:szCs w:val="24"/>
              </w:rPr>
              <w:t xml:space="preserve">4.4</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W w:w="2267" w:type="dxa"/>
            <w:vMerge w:val="restart"/>
            <w:textDirection w:val="lrTb"/>
            <w:noWrap w:val="false"/>
          </w:tcPr>
          <w:p>
            <w:pPr>
              <w:pStyle w:val="1073"/>
              <w:jc w:val="center"/>
              <w:spacing w:before="40" w:after="40"/>
              <w:rPr>
                <w:bCs/>
                <w:sz w:val="24"/>
                <w:szCs w:val="24"/>
              </w:rPr>
            </w:pPr>
            <w:r>
              <w:rPr>
                <w:bCs/>
                <w:sz w:val="24"/>
                <w:szCs w:val="24"/>
              </w:rPr>
              <w:t xml:space="preserve">Внесение изменений в Извещение </w:t>
            </w:r>
            <w:r>
              <w:rPr>
                <w:bCs/>
                <w:sz w:val="24"/>
                <w:szCs w:val="24"/>
              </w:rPr>
              <w:t xml:space="preserve">и</w:t>
            </w:r>
            <w:r>
              <w:rPr>
                <w:bCs/>
                <w:sz w:val="24"/>
                <w:szCs w:val="24"/>
              </w:rPr>
              <w:t xml:space="preserve"> </w:t>
            </w:r>
            <w:r>
              <w:rPr>
                <w:bCs/>
                <w:sz w:val="24"/>
                <w:szCs w:val="24"/>
              </w:rPr>
              <w:t xml:space="preserve">(или)</w:t>
            </w:r>
            <w:r>
              <w:rPr>
                <w:bCs/>
                <w:sz w:val="24"/>
                <w:szCs w:val="24"/>
              </w:rPr>
              <w:t xml:space="preserve"> Документацию о закупке</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_Ref125362076 \r \h  \* MERGEFORMAT </w:instrText>
            </w:r>
            <w:r>
              <w:rPr>
                <w:bCs/>
                <w:sz w:val="24"/>
                <w:szCs w:val="24"/>
              </w:rPr>
              <w:fldChar w:fldCharType="separate"/>
            </w:r>
            <w:r>
              <w:rPr>
                <w:bCs/>
                <w:sz w:val="24"/>
                <w:szCs w:val="24"/>
              </w:rPr>
              <w:t xml:space="preserve">4.5</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Borders>
              <w:right w:val="none" w:color="000000" w:sz="4" w:space="0"/>
            </w:tcBorders>
            <w:tcW w:w="2231" w:type="dxa"/>
            <w:vMerge w:val="restart"/>
            <w:textDirection w:val="lrTb"/>
            <w:noWrap w:val="false"/>
          </w:tcPr>
          <w:p>
            <w:pPr>
              <w:pStyle w:val="1073"/>
              <w:jc w:val="center"/>
              <w:spacing w:before="40" w:after="40"/>
              <w:rPr>
                <w:bCs/>
                <w:sz w:val="24"/>
                <w:szCs w:val="24"/>
              </w:rPr>
            </w:pPr>
            <w:r>
              <w:rPr>
                <w:bCs/>
                <w:sz w:val="24"/>
                <w:szCs w:val="24"/>
              </w:rPr>
              <w:t xml:space="preserve">Отказ от</w:t>
            </w:r>
            <w:r>
              <w:rPr>
                <w:bCs/>
                <w:sz w:val="24"/>
                <w:szCs w:val="24"/>
              </w:rPr>
              <w:t xml:space="preserve"> </w:t>
            </w:r>
            <w:r>
              <w:rPr>
                <w:bCs/>
                <w:sz w:val="24"/>
                <w:szCs w:val="24"/>
              </w:rPr>
              <w:t xml:space="preserve">проведения закупки</w:t>
            </w:r>
            <w:r>
              <w:rPr>
                <w:bCs/>
                <w:sz w:val="24"/>
                <w:szCs w:val="24"/>
              </w:rPr>
              <w:t xml:space="preserve"> (отмена закупки)</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_Ref126141962 \r \h  \* MERGEFORMAT </w:instrText>
            </w:r>
            <w:r>
              <w:rPr>
                <w:bCs/>
                <w:sz w:val="24"/>
                <w:szCs w:val="24"/>
              </w:rPr>
              <w:fldChar w:fldCharType="separate"/>
            </w:r>
            <w:r>
              <w:rPr>
                <w:bCs/>
                <w:sz w:val="24"/>
                <w:szCs w:val="24"/>
              </w:rPr>
              <w:t xml:space="preserve">4.16</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073"/>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2"/>
            <w:tcW w:w="3332" w:type="dxa"/>
            <w:textDirection w:val="lrTb"/>
            <w:noWrap w:val="false"/>
          </w:tcPr>
          <w:p>
            <w:pPr>
              <w:pStyle w:val="1073"/>
              <w:jc w:val="center"/>
              <w:spacing w:before="40" w:after="40"/>
              <w:rPr>
                <w:bCs/>
                <w:sz w:val="24"/>
                <w:szCs w:val="24"/>
              </w:rPr>
            </w:pPr>
            <w:r>
              <w:rPr>
                <w:bCs/>
                <w:sz w:val="24"/>
                <w:szCs w:val="24"/>
              </w:rPr>
              <w:t xml:space="preserve">Подача заявок и</w:t>
            </w:r>
            <w:r>
              <w:rPr>
                <w:bCs/>
                <w:sz w:val="24"/>
                <w:szCs w:val="24"/>
              </w:rPr>
              <w:t xml:space="preserve"> </w:t>
            </w:r>
            <w:r>
              <w:rPr>
                <w:bCs/>
                <w:sz w:val="24"/>
                <w:szCs w:val="24"/>
              </w:rPr>
              <w:t xml:space="preserve">их</w:t>
            </w:r>
            <w:r>
              <w:rPr>
                <w:bCs/>
                <w:sz w:val="24"/>
                <w:szCs w:val="24"/>
              </w:rPr>
              <w:t xml:space="preserve"> </w:t>
            </w:r>
            <w:r>
              <w:rPr>
                <w:bCs/>
                <w:sz w:val="24"/>
                <w:szCs w:val="24"/>
              </w:rPr>
              <w:t xml:space="preserve">прием</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_Ref125362119 \r \h  \* MERGEFORMAT </w:instrText>
            </w:r>
            <w:r>
              <w:rPr>
                <w:bCs/>
                <w:sz w:val="24"/>
                <w:szCs w:val="24"/>
              </w:rPr>
              <w:fldChar w:fldCharType="separate"/>
            </w:r>
            <w:r>
              <w:rPr>
                <w:bCs/>
                <w:sz w:val="24"/>
                <w:szCs w:val="24"/>
              </w:rPr>
              <w:t xml:space="preserve">4.6</w:t>
            </w:r>
            <w:r>
              <w:rPr>
                <w:bCs/>
                <w:sz w:val="24"/>
                <w:szCs w:val="24"/>
              </w:rPr>
              <w:fldChar w:fldCharType="end"/>
            </w:r>
            <w:r>
              <w:rPr>
                <w:bCs/>
                <w:sz w:val="24"/>
                <w:szCs w:val="24"/>
              </w:rPr>
              <w:t xml:space="preserve">)</w:t>
            </w:r>
            <w:r>
              <w:rPr>
                <w:bCs/>
                <w:sz w:val="24"/>
                <w:szCs w:val="24"/>
              </w:rPr>
            </w:r>
            <w:r>
              <w:rPr>
                <w:bCs/>
                <w:sz w:val="24"/>
                <w:szCs w:val="24"/>
              </w:rPr>
            </w:r>
          </w:p>
        </w:tc>
        <w:tc>
          <w:tcPr>
            <w:tcW w:w="3335" w:type="dxa"/>
            <w:textDirection w:val="lrTb"/>
            <w:noWrap w:val="false"/>
          </w:tcPr>
          <w:p>
            <w:pPr>
              <w:pStyle w:val="1073"/>
              <w:jc w:val="center"/>
              <w:spacing w:before="40" w:after="40"/>
              <w:rPr>
                <w:bCs/>
                <w:sz w:val="24"/>
                <w:szCs w:val="24"/>
              </w:rPr>
            </w:pPr>
            <w:r>
              <w:rPr>
                <w:bCs/>
                <w:sz w:val="24"/>
                <w:szCs w:val="24"/>
              </w:rPr>
              <w:t xml:space="preserve">Изменение и отзыв</w:t>
            </w:r>
            <w:r>
              <w:rPr>
                <w:bCs/>
                <w:sz w:val="24"/>
                <w:szCs w:val="24"/>
              </w:rPr>
              <w:t xml:space="preserve"> </w:t>
            </w:r>
            <w:r>
              <w:rPr>
                <w:bCs/>
                <w:sz w:val="24"/>
                <w:szCs w:val="24"/>
              </w:rPr>
              <w:t xml:space="preserve">заявок</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_Ref125362130 \r \h  \* MERGEFORMAT </w:instrText>
            </w:r>
            <w:r>
              <w:rPr>
                <w:bCs/>
                <w:sz w:val="24"/>
                <w:szCs w:val="24"/>
              </w:rPr>
              <w:fldChar w:fldCharType="separate"/>
            </w:r>
            <w:r>
              <w:rPr>
                <w:bCs/>
                <w:sz w:val="24"/>
                <w:szCs w:val="24"/>
              </w:rPr>
              <w:t xml:space="preserve">4.7</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W w:w="2408" w:type="dxa"/>
            <w:vMerge w:val="continue"/>
            <w:textDirection w:val="lrTb"/>
            <w:noWrap w:val="false"/>
          </w:tcPr>
          <w:p>
            <w:pPr>
              <w:pStyle w:val="1073"/>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073"/>
              <w:jc w:val="center"/>
              <w:spacing w:before="40" w:after="40"/>
              <w:rPr>
                <w:bCs/>
                <w:sz w:val="24"/>
                <w:szCs w:val="24"/>
              </w:rPr>
            </w:pPr>
            <w:r>
              <w:rPr>
                <w:bCs/>
                <w:sz w:val="24"/>
                <w:szCs w:val="24"/>
              </w:rPr>
            </w:r>
            <w:r>
              <w:rPr>
                <w:bCs/>
                <w:sz w:val="24"/>
                <w:szCs w:val="24"/>
              </w:rPr>
            </w:r>
            <w:r>
              <w:rPr>
                <w:bCs/>
                <w:sz w:val="24"/>
                <w:szCs w:val="24"/>
              </w:rPr>
            </w:r>
          </w:p>
        </w:tc>
        <w:tc>
          <w:tcPr>
            <w:tcBorders>
              <w:bottom w:val="single" w:color="7F7F7F" w:themeColor="text1" w:themeTint="80" w:sz="4" w:space="0"/>
              <w:right w:val="none" w:color="000000" w:sz="4" w:space="0"/>
            </w:tcBorders>
            <w:tcW w:w="2231" w:type="dxa"/>
            <w:vAlign w:val="bottom"/>
            <w:vMerge w:val="continue"/>
            <w:textDirection w:val="lrTb"/>
            <w:noWrap w:val="false"/>
          </w:tcPr>
          <w:p>
            <w:pPr>
              <w:pStyle w:val="1073"/>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073"/>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5"/>
            <w:tcW w:w="11342" w:type="dxa"/>
            <w:textDirection w:val="lrTb"/>
            <w:noWrap w:val="false"/>
          </w:tcPr>
          <w:p>
            <w:pPr>
              <w:pStyle w:val="1073"/>
              <w:jc w:val="center"/>
              <w:spacing w:before="40" w:after="40"/>
              <w:rPr>
                <w:bCs/>
                <w:sz w:val="24"/>
                <w:szCs w:val="24"/>
              </w:rPr>
            </w:pPr>
            <w:r>
              <w:rPr>
                <w:bCs/>
                <w:sz w:val="24"/>
                <w:szCs w:val="24"/>
              </w:rPr>
              <w:t xml:space="preserve">Открытие доступа к заявкам (подраздел </w:t>
            </w:r>
            <w:r>
              <w:rPr>
                <w:bCs/>
                <w:sz w:val="24"/>
                <w:szCs w:val="24"/>
              </w:rPr>
              <w:fldChar w:fldCharType="begin"/>
            </w:r>
            <w:r>
              <w:rPr>
                <w:bCs/>
                <w:sz w:val="24"/>
                <w:szCs w:val="24"/>
              </w:rPr>
              <w:instrText xml:space="preserve"> REF _Ref130221619 \r \h  \* MERGEFORMAT </w:instrText>
            </w:r>
            <w:r>
              <w:rPr>
                <w:bCs/>
                <w:sz w:val="24"/>
                <w:szCs w:val="24"/>
              </w:rPr>
              <w:fldChar w:fldCharType="separate"/>
            </w:r>
            <w:r>
              <w:rPr>
                <w:bCs/>
                <w:sz w:val="24"/>
                <w:szCs w:val="24"/>
              </w:rPr>
              <w:t xml:space="preserve">4.8</w:t>
            </w:r>
            <w:r>
              <w:rPr>
                <w:bCs/>
                <w:sz w:val="24"/>
                <w:szCs w:val="24"/>
              </w:rPr>
              <w:fldChar w:fldCharType="end"/>
            </w:r>
            <w:r>
              <w:rPr>
                <w:bCs/>
                <w:sz w:val="24"/>
                <w:szCs w:val="24"/>
              </w:rPr>
              <w:t xml:space="preserve">)</w:t>
            </w:r>
            <w:r>
              <w:rPr>
                <w:bCs/>
                <w:sz w:val="24"/>
                <w:szCs w:val="24"/>
              </w:rPr>
            </w:r>
            <w:r>
              <w:rPr>
                <w:bCs/>
                <w:sz w:val="24"/>
                <w:szCs w:val="24"/>
              </w:rPr>
            </w:r>
          </w:p>
        </w:tc>
        <w:tc>
          <w:tcPr>
            <w:tcBorders>
              <w:right w:val="none" w:color="000000" w:sz="4" w:space="0"/>
            </w:tcBorders>
            <w:tcW w:w="2231" w:type="dxa"/>
            <w:vAlign w:val="center"/>
            <w:vMerge w:val="restart"/>
            <w:textDirection w:val="lrTb"/>
            <w:noWrap w:val="false"/>
          </w:tcPr>
          <w:p>
            <w:pPr>
              <w:pStyle w:val="1073"/>
              <w:jc w:val="center"/>
              <w:spacing w:before="40" w:after="40"/>
              <w:rPr>
                <w:bCs/>
                <w:sz w:val="24"/>
                <w:szCs w:val="24"/>
              </w:rPr>
            </w:pPr>
            <w:r>
              <w:rPr>
                <w:bCs/>
                <w:sz w:val="24"/>
                <w:szCs w:val="24"/>
              </w:rPr>
              <w:t xml:space="preserve">Отказ от проведения закупки (отмена закупки) по обстоятельствам непреодолимой силы в соответствии с гражданским законодательством</w:t>
            </w:r>
            <w:r>
              <w:rPr>
                <w:bCs/>
                <w:sz w:val="24"/>
                <w:szCs w:val="24"/>
              </w:rPr>
              <w:br/>
              <w:t xml:space="preserve">(подраздел </w:t>
            </w:r>
            <w:r>
              <w:rPr>
                <w:bCs/>
                <w:sz w:val="24"/>
                <w:szCs w:val="24"/>
              </w:rPr>
              <w:fldChar w:fldCharType="begin"/>
            </w:r>
            <w:r>
              <w:rPr>
                <w:bCs/>
                <w:sz w:val="24"/>
                <w:szCs w:val="24"/>
              </w:rPr>
              <w:instrText xml:space="preserve"> REF _Ref126141962 \r \h  \* MERGEFORMAT </w:instrText>
            </w:r>
            <w:r>
              <w:rPr>
                <w:bCs/>
                <w:sz w:val="24"/>
                <w:szCs w:val="24"/>
              </w:rPr>
              <w:fldChar w:fldCharType="separate"/>
            </w:r>
            <w:r>
              <w:rPr>
                <w:bCs/>
                <w:sz w:val="24"/>
                <w:szCs w:val="24"/>
              </w:rPr>
              <w:t xml:space="preserve">4.16</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r>
      <w:tr>
        <w:tblPrEx/>
        <w:trPr>
          <w:trHeight w:val="276"/>
        </w:trPr>
        <w:tc>
          <w:tcPr>
            <w:tcBorders>
              <w:left w:val="none" w:color="000000" w:sz="4" w:space="0"/>
            </w:tcBorders>
            <w:tcW w:w="430" w:type="dxa"/>
            <w:vAlign w:val="bottom"/>
            <w:textDirection w:val="lrTb"/>
            <w:noWrap w:val="false"/>
          </w:tcPr>
          <w:p>
            <w:pPr>
              <w:pStyle w:val="1073"/>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2"/>
            <w:tcW w:w="3332" w:type="dxa"/>
            <w:textDirection w:val="lrTb"/>
            <w:noWrap w:val="false"/>
          </w:tcPr>
          <w:p>
            <w:pPr>
              <w:pStyle w:val="1073"/>
              <w:jc w:val="center"/>
              <w:spacing w:before="40" w:after="40"/>
              <w:rPr>
                <w:bCs/>
                <w:sz w:val="24"/>
                <w:szCs w:val="24"/>
              </w:rPr>
            </w:pPr>
            <w:r>
              <w:rPr>
                <w:bCs/>
                <w:sz w:val="24"/>
                <w:szCs w:val="24"/>
              </w:rPr>
              <w:t xml:space="preserve">Рассмотрение заявок (отборочная стадия)</w:t>
            </w:r>
            <w:r>
              <w:rPr>
                <w:bCs/>
                <w:sz w:val="24"/>
                <w:szCs w:val="24"/>
              </w:rPr>
              <w:t xml:space="preserve">, в том числе (при необходимости) проведение аккредитации</w:t>
            </w:r>
            <w:r>
              <w:rPr>
                <w:bCs/>
                <w:sz w:val="24"/>
                <w:szCs w:val="24"/>
              </w:rPr>
              <w:t xml:space="preserve"> (подраздел </w:t>
            </w:r>
            <w:r>
              <w:rPr>
                <w:bCs/>
                <w:sz w:val="24"/>
                <w:szCs w:val="24"/>
              </w:rPr>
              <w:fldChar w:fldCharType="begin"/>
            </w:r>
            <w:r>
              <w:rPr>
                <w:bCs/>
                <w:sz w:val="24"/>
                <w:szCs w:val="24"/>
              </w:rPr>
              <w:instrText xml:space="preserve"> REF _Ref125362364 \r \h  \* MERGEFORMAT </w:instrText>
            </w:r>
            <w:r>
              <w:rPr>
                <w:bCs/>
                <w:sz w:val="24"/>
                <w:szCs w:val="24"/>
              </w:rPr>
              <w:fldChar w:fldCharType="separate"/>
            </w:r>
            <w:r>
              <w:rPr>
                <w:bCs/>
                <w:sz w:val="24"/>
                <w:szCs w:val="24"/>
              </w:rPr>
              <w:t xml:space="preserve">4.9</w:t>
            </w:r>
            <w:r>
              <w:rPr>
                <w:bCs/>
                <w:sz w:val="24"/>
                <w:szCs w:val="24"/>
              </w:rPr>
              <w:fldChar w:fldCharType="end"/>
            </w:r>
            <w:r>
              <w:rPr>
                <w:bCs/>
                <w:sz w:val="24"/>
                <w:szCs w:val="24"/>
              </w:rPr>
              <w:t xml:space="preserve">)</w:t>
            </w:r>
            <w:r>
              <w:rPr>
                <w:bCs/>
                <w:sz w:val="24"/>
                <w:szCs w:val="24"/>
              </w:rPr>
            </w:r>
            <w:r>
              <w:rPr>
                <w:bCs/>
                <w:sz w:val="24"/>
                <w:szCs w:val="24"/>
              </w:rPr>
            </w:r>
          </w:p>
        </w:tc>
        <w:tc>
          <w:tcPr>
            <w:tcW w:w="3335" w:type="dxa"/>
            <w:textDirection w:val="lrTb"/>
            <w:noWrap w:val="false"/>
          </w:tcPr>
          <w:p>
            <w:pPr>
              <w:pStyle w:val="1073"/>
              <w:jc w:val="center"/>
              <w:spacing w:before="40" w:after="40"/>
              <w:rPr>
                <w:bCs/>
                <w:sz w:val="24"/>
                <w:szCs w:val="24"/>
              </w:rPr>
            </w:pPr>
            <w:r>
              <w:rPr>
                <w:bCs/>
                <w:sz w:val="24"/>
                <w:szCs w:val="24"/>
              </w:rPr>
              <w:t xml:space="preserve">Применение законодательства о</w:t>
            </w:r>
            <w:r>
              <w:rPr>
                <w:bCs/>
                <w:sz w:val="24"/>
                <w:szCs w:val="24"/>
              </w:rPr>
              <w:t xml:space="preserve"> </w:t>
            </w:r>
            <w:r>
              <w:rPr>
                <w:bCs/>
                <w:sz w:val="24"/>
                <w:szCs w:val="24"/>
              </w:rPr>
              <w:t xml:space="preserve">национальном режиме</w:t>
            </w:r>
            <w:r>
              <w:rPr>
                <w:bCs/>
                <w:sz w:val="24"/>
                <w:szCs w:val="24"/>
              </w:rPr>
              <w:br/>
            </w:r>
            <w:r>
              <w:rPr>
                <w:bCs/>
                <w:sz w:val="24"/>
                <w:szCs w:val="24"/>
              </w:rPr>
              <w:t xml:space="preserve">(</w:t>
            </w:r>
            <w:r>
              <w:rPr>
                <w:bCs/>
                <w:sz w:val="24"/>
                <w:szCs w:val="24"/>
                <w:u w:val="single"/>
              </w:rPr>
              <w:t xml:space="preserve">предоставление национального режима / запрета, ограничения</w:t>
            </w:r>
            <w:r>
              <w:rPr>
                <w:bCs/>
                <w:sz w:val="24"/>
                <w:szCs w:val="24"/>
              </w:rPr>
              <w:t xml:space="preserve">)</w:t>
            </w:r>
            <w:r>
              <w:rPr>
                <w:bCs/>
                <w:sz w:val="24"/>
                <w:szCs w:val="24"/>
              </w:rPr>
              <w:br/>
            </w:r>
            <w:r>
              <w:rPr>
                <w:bCs/>
                <w:sz w:val="24"/>
                <w:szCs w:val="24"/>
              </w:rPr>
              <w:t xml:space="preserve">(подраздел</w:t>
            </w:r>
            <w:r>
              <w:rPr>
                <w:bCs/>
                <w:sz w:val="24"/>
                <w:szCs w:val="24"/>
              </w:rPr>
              <w:t xml:space="preserve"> </w:t>
            </w:r>
            <w:r>
              <w:rPr>
                <w:bCs/>
                <w:sz w:val="24"/>
                <w:szCs w:val="24"/>
              </w:rPr>
              <w:fldChar w:fldCharType="begin"/>
            </w:r>
            <w:r>
              <w:rPr>
                <w:bCs/>
                <w:sz w:val="24"/>
                <w:szCs w:val="24"/>
              </w:rPr>
              <w:instrText xml:space="preserve"> REF _Ref130985951 \r \h </w:instrText>
            </w:r>
            <w:r>
              <w:rPr>
                <w:bCs/>
                <w:sz w:val="24"/>
                <w:szCs w:val="24"/>
              </w:rPr>
              <w:fldChar w:fldCharType="separate"/>
            </w:r>
            <w:r>
              <w:rPr>
                <w:bCs/>
                <w:sz w:val="24"/>
                <w:szCs w:val="24"/>
              </w:rPr>
              <w:t xml:space="preserve">4.12</w:t>
            </w:r>
            <w:r>
              <w:rPr>
                <w:bCs/>
                <w:sz w:val="24"/>
                <w:szCs w:val="24"/>
              </w:rPr>
              <w:fldChar w:fldCharType="end"/>
            </w:r>
            <w:r>
              <w:rPr>
                <w:bCs/>
                <w:sz w:val="24"/>
                <w:szCs w:val="24"/>
              </w:rPr>
              <w:t xml:space="preserve">)</w:t>
            </w:r>
            <w:r>
              <w:rPr>
                <w:bCs/>
                <w:sz w:val="24"/>
                <w:szCs w:val="24"/>
              </w:rPr>
            </w:r>
            <w:r>
              <w:rPr>
                <w:bCs/>
                <w:sz w:val="24"/>
                <w:szCs w:val="24"/>
              </w:rPr>
            </w:r>
          </w:p>
        </w:tc>
        <w:tc>
          <w:tcPr>
            <w:tcW w:w="2408" w:type="dxa"/>
            <w:vAlign w:val="center"/>
            <w:vMerge w:val="restart"/>
            <w:textDirection w:val="lrTb"/>
            <w:noWrap w:val="false"/>
          </w:tcPr>
          <w:p>
            <w:pPr>
              <w:pStyle w:val="1073"/>
              <w:jc w:val="center"/>
              <w:spacing w:before="40" w:after="40"/>
              <w:rPr>
                <w:bCs/>
                <w:sz w:val="24"/>
                <w:szCs w:val="24"/>
              </w:rPr>
            </w:pPr>
            <w:r>
              <w:rPr>
                <w:bCs/>
                <w:sz w:val="24"/>
                <w:szCs w:val="24"/>
              </w:rPr>
              <w:t xml:space="preserve">Направление дополнительных запросов разъяснений заявок</w:t>
            </w:r>
            <w:r>
              <w:rPr>
                <w:bCs/>
                <w:sz w:val="24"/>
                <w:szCs w:val="24"/>
              </w:rPr>
              <w:br/>
              <w:t xml:space="preserve">(подраздел </w:t>
            </w:r>
            <w:r>
              <w:rPr>
                <w:bCs/>
                <w:sz w:val="24"/>
                <w:szCs w:val="24"/>
              </w:rPr>
              <w:fldChar w:fldCharType="begin"/>
            </w:r>
            <w:r>
              <w:rPr>
                <w:bCs/>
                <w:sz w:val="24"/>
                <w:szCs w:val="24"/>
              </w:rPr>
              <w:instrText xml:space="preserve"> REF _Ref125362381 \r \h  \* MERGEFORMAT </w:instrText>
            </w:r>
            <w:r>
              <w:rPr>
                <w:bCs/>
                <w:sz w:val="24"/>
                <w:szCs w:val="24"/>
              </w:rPr>
              <w:fldChar w:fldCharType="separate"/>
            </w:r>
            <w:r>
              <w:rPr>
                <w:bCs/>
                <w:sz w:val="24"/>
                <w:szCs w:val="24"/>
              </w:rPr>
              <w:t xml:space="preserve">4.10</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W w:w="2267" w:type="dxa"/>
            <w:vAlign w:val="center"/>
            <w:vMerge w:val="restart"/>
            <w:textDirection w:val="lrTb"/>
            <w:noWrap w:val="false"/>
          </w:tcPr>
          <w:p>
            <w:pPr>
              <w:pStyle w:val="1073"/>
              <w:jc w:val="center"/>
              <w:spacing w:before="40" w:after="40"/>
              <w:rPr>
                <w:bCs/>
                <w:sz w:val="24"/>
                <w:szCs w:val="24"/>
              </w:rPr>
            </w:pPr>
            <w:r>
              <w:rPr>
                <w:bCs/>
                <w:sz w:val="24"/>
                <w:szCs w:val="24"/>
              </w:rPr>
              <w:t xml:space="preserve">Признание закупки</w:t>
            </w:r>
            <w:r>
              <w:rPr>
                <w:bCs/>
                <w:sz w:val="24"/>
                <w:szCs w:val="24"/>
              </w:rPr>
              <w:br/>
              <w:t xml:space="preserve">несостоявшейся</w:t>
            </w:r>
            <w:r>
              <w:rPr>
                <w:bCs/>
                <w:sz w:val="24"/>
                <w:szCs w:val="24"/>
              </w:rPr>
              <w:br/>
              <w:t xml:space="preserve">(подраздел </w:t>
            </w:r>
            <w:r>
              <w:rPr>
                <w:bCs/>
                <w:sz w:val="24"/>
                <w:szCs w:val="24"/>
              </w:rPr>
              <w:fldChar w:fldCharType="begin"/>
            </w:r>
            <w:r>
              <w:rPr>
                <w:bCs/>
                <w:sz w:val="24"/>
                <w:szCs w:val="24"/>
              </w:rPr>
              <w:instrText xml:space="preserve"> REF _Ref125364149 \r \h  \* MERGEFORMAT </w:instrText>
            </w:r>
            <w:r>
              <w:rPr>
                <w:bCs/>
                <w:sz w:val="24"/>
                <w:szCs w:val="24"/>
              </w:rPr>
              <w:fldChar w:fldCharType="separate"/>
            </w:r>
            <w:r>
              <w:rPr>
                <w:bCs/>
                <w:sz w:val="24"/>
                <w:szCs w:val="24"/>
              </w:rPr>
              <w:t xml:space="preserve">4.15</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073"/>
              <w:jc w:val="center"/>
              <w:spacing w:before="40" w:after="40"/>
              <w:rPr>
                <w:bCs/>
                <w:sz w:val="24"/>
                <w:szCs w:val="24"/>
              </w:rPr>
            </w:pPr>
            <w:r>
              <w:rPr>
                <w:bCs/>
                <w:sz w:val="24"/>
                <w:szCs w:val="24"/>
              </w:rPr>
            </w:r>
            <w:r>
              <w:rPr>
                <w:bCs/>
                <w:sz w:val="24"/>
                <w:szCs w:val="24"/>
              </w:rPr>
            </w:r>
            <w:r>
              <w:rPr>
                <w:bCs/>
                <w:sz w:val="24"/>
                <w:szCs w:val="24"/>
              </w:rPr>
            </w:r>
          </w:p>
        </w:tc>
      </w:tr>
      <w:tr>
        <w:tblPrEx/>
        <w:trPr>
          <w:trHeight w:val="629"/>
        </w:trPr>
        <w:tc>
          <w:tcPr>
            <w:tcBorders>
              <w:left w:val="none" w:color="000000" w:sz="4" w:space="0"/>
            </w:tcBorders>
            <w:tcW w:w="430" w:type="dxa"/>
            <w:vAlign w:val="bottom"/>
            <w:textDirection w:val="lrTb"/>
            <w:noWrap w:val="false"/>
          </w:tcPr>
          <w:p>
            <w:pPr>
              <w:pStyle w:val="1073"/>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tcW w:w="1984" w:type="dxa"/>
            <w:vAlign w:val="center"/>
            <w:vMerge w:val="restart"/>
            <w:textDirection w:val="lrTb"/>
            <w:noWrap w:val="false"/>
          </w:tcPr>
          <w:p>
            <w:pPr>
              <w:pStyle w:val="1073"/>
              <w:jc w:val="center"/>
              <w:spacing w:before="40" w:after="40"/>
              <w:rPr>
                <w:bCs/>
                <w:sz w:val="24"/>
                <w:szCs w:val="24"/>
              </w:rPr>
            </w:pPr>
            <w:r>
              <w:rPr>
                <w:bCs/>
                <w:sz w:val="24"/>
                <w:szCs w:val="24"/>
              </w:rPr>
              <w:t xml:space="preserve">Оценка и сопоставлени</w:t>
            </w:r>
            <w:r>
              <w:rPr>
                <w:bCs/>
                <w:sz w:val="24"/>
                <w:szCs w:val="24"/>
              </w:rPr>
              <w:t xml:space="preserve">е</w:t>
            </w:r>
            <w:r>
              <w:rPr>
                <w:bCs/>
                <w:sz w:val="24"/>
                <w:szCs w:val="24"/>
              </w:rPr>
              <w:t xml:space="preserve"> заявок</w:t>
            </w:r>
            <w:r>
              <w:rPr>
                <w:bCs/>
                <w:sz w:val="24"/>
                <w:szCs w:val="24"/>
              </w:rPr>
              <w:br/>
              <w:t xml:space="preserve">(подраздел </w:t>
            </w:r>
            <w:r>
              <w:rPr>
                <w:bCs/>
                <w:sz w:val="24"/>
                <w:szCs w:val="24"/>
              </w:rPr>
              <w:fldChar w:fldCharType="begin"/>
            </w:r>
            <w:r>
              <w:rPr>
                <w:bCs/>
                <w:sz w:val="24"/>
                <w:szCs w:val="24"/>
              </w:rPr>
              <w:instrText xml:space="preserve"> REF _Ref125362626 \r \h  \* MERGEFORMAT </w:instrText>
            </w:r>
            <w:r>
              <w:rPr>
                <w:bCs/>
                <w:sz w:val="24"/>
                <w:szCs w:val="24"/>
              </w:rPr>
              <w:fldChar w:fldCharType="separate"/>
            </w:r>
            <w:r>
              <w:rPr>
                <w:bCs/>
                <w:sz w:val="24"/>
                <w:szCs w:val="24"/>
              </w:rPr>
              <w:t xml:space="preserve">4.11</w:t>
            </w:r>
            <w:r>
              <w:rPr>
                <w:bCs/>
                <w:sz w:val="24"/>
                <w:szCs w:val="24"/>
              </w:rPr>
              <w:fldChar w:fldCharType="end"/>
            </w:r>
            <w:r>
              <w:rPr>
                <w:bCs/>
                <w:sz w:val="24"/>
                <w:szCs w:val="24"/>
              </w:rPr>
              <w:t xml:space="preserve">)</w:t>
            </w:r>
            <w:r>
              <w:rPr>
                <w:bCs/>
                <w:sz w:val="24"/>
                <w:szCs w:val="24"/>
              </w:rPr>
            </w:r>
            <w:r>
              <w:rPr>
                <w:bCs/>
                <w:sz w:val="24"/>
                <w:szCs w:val="24"/>
              </w:rPr>
            </w:r>
          </w:p>
        </w:tc>
        <w:tc>
          <w:tcPr>
            <w:gridSpan w:val="2"/>
            <w:tcW w:w="4683" w:type="dxa"/>
            <w:vMerge w:val="restart"/>
            <w:textDirection w:val="lrTb"/>
            <w:noWrap w:val="false"/>
          </w:tcPr>
          <w:p>
            <w:pPr>
              <w:pStyle w:val="1073"/>
              <w:jc w:val="center"/>
              <w:spacing w:before="40" w:after="40"/>
              <w:rPr>
                <w:bCs/>
                <w:sz w:val="24"/>
                <w:szCs w:val="24"/>
              </w:rPr>
            </w:pPr>
            <w:r>
              <w:rPr>
                <w:bCs/>
                <w:sz w:val="24"/>
                <w:szCs w:val="24"/>
              </w:rPr>
              <w:t xml:space="preserve">Применение законодательства о</w:t>
            </w:r>
            <w:r>
              <w:rPr>
                <w:bCs/>
                <w:sz w:val="24"/>
                <w:szCs w:val="24"/>
              </w:rPr>
              <w:t xml:space="preserve"> </w:t>
            </w:r>
            <w:r>
              <w:rPr>
                <w:bCs/>
                <w:sz w:val="24"/>
                <w:szCs w:val="24"/>
              </w:rPr>
              <w:t xml:space="preserve">национальном режиме</w:t>
            </w:r>
            <w:r>
              <w:rPr>
                <w:bCs/>
                <w:sz w:val="24"/>
                <w:szCs w:val="24"/>
              </w:rPr>
              <w:br/>
            </w:r>
            <w:r>
              <w:rPr>
                <w:bCs/>
                <w:sz w:val="24"/>
                <w:szCs w:val="24"/>
              </w:rPr>
              <w:t xml:space="preserve">(в</w:t>
            </w:r>
            <w:r>
              <w:rPr>
                <w:bCs/>
                <w:sz w:val="24"/>
                <w:szCs w:val="24"/>
              </w:rPr>
              <w:t xml:space="preserve"> </w:t>
            </w:r>
            <w:r>
              <w:rPr>
                <w:bCs/>
                <w:sz w:val="24"/>
                <w:szCs w:val="24"/>
              </w:rPr>
              <w:t xml:space="preserve">части учета установленного преимущества в</w:t>
            </w:r>
            <w:r>
              <w:rPr>
                <w:bCs/>
                <w:sz w:val="24"/>
                <w:szCs w:val="24"/>
              </w:rPr>
              <w:t xml:space="preserve"> </w:t>
            </w:r>
            <w:r>
              <w:rPr>
                <w:bCs/>
                <w:sz w:val="24"/>
                <w:szCs w:val="24"/>
              </w:rPr>
              <w:t xml:space="preserve">цене предложения, если</w:t>
            </w:r>
            <w:r>
              <w:rPr>
                <w:bCs/>
                <w:sz w:val="24"/>
                <w:szCs w:val="24"/>
              </w:rPr>
              <w:t xml:space="preserve"> </w:t>
            </w:r>
            <w:r>
              <w:rPr>
                <w:bCs/>
                <w:sz w:val="24"/>
                <w:szCs w:val="24"/>
              </w:rPr>
              <w:t xml:space="preserve">применимо)</w:t>
            </w:r>
            <w:r>
              <w:rPr>
                <w:bCs/>
                <w:sz w:val="24"/>
                <w:szCs w:val="24"/>
              </w:rPr>
              <w:br/>
            </w:r>
            <w:r>
              <w:rPr>
                <w:bCs/>
                <w:sz w:val="24"/>
                <w:szCs w:val="24"/>
              </w:rPr>
              <w:t xml:space="preserve">(подраздел</w:t>
            </w:r>
            <w:r>
              <w:rPr>
                <w:bCs/>
                <w:sz w:val="24"/>
                <w:szCs w:val="24"/>
              </w:rPr>
              <w:t xml:space="preserve"> </w:t>
            </w:r>
            <w:r>
              <w:rPr>
                <w:bCs/>
                <w:sz w:val="24"/>
                <w:szCs w:val="24"/>
              </w:rPr>
              <w:fldChar w:fldCharType="begin"/>
            </w:r>
            <w:r>
              <w:rPr>
                <w:bCs/>
                <w:sz w:val="24"/>
                <w:szCs w:val="24"/>
              </w:rPr>
              <w:instrText xml:space="preserve"> REF _Ref130985951 \r \h </w:instrText>
            </w:r>
            <w:r>
              <w:rPr>
                <w:bCs/>
                <w:sz w:val="24"/>
                <w:szCs w:val="24"/>
              </w:rPr>
              <w:fldChar w:fldCharType="separate"/>
            </w:r>
            <w:r>
              <w:rPr>
                <w:bCs/>
                <w:sz w:val="24"/>
                <w:szCs w:val="24"/>
              </w:rPr>
              <w:t xml:space="preserve">4.12</w:t>
            </w:r>
            <w:r>
              <w:rPr>
                <w:bCs/>
                <w:sz w:val="24"/>
                <w:szCs w:val="24"/>
              </w:rPr>
              <w:fldChar w:fldCharType="end"/>
            </w:r>
            <w:r>
              <w:rPr>
                <w:bCs/>
                <w:sz w:val="24"/>
                <w:szCs w:val="24"/>
              </w:rPr>
              <w:t xml:space="preserve">)</w:t>
            </w:r>
            <w:r>
              <w:rPr>
                <w:bCs/>
                <w:sz w:val="24"/>
                <w:szCs w:val="24"/>
              </w:rPr>
            </w:r>
            <w:r>
              <w:rPr>
                <w:bCs/>
                <w:sz w:val="24"/>
                <w:szCs w:val="24"/>
              </w:rPr>
            </w:r>
          </w:p>
          <w:p>
            <w:r/>
            <w:r/>
          </w:p>
        </w:tc>
        <w:tc>
          <w:tcPr>
            <w:tcW w:w="2408" w:type="dxa"/>
            <w:vMerge w:val="continue"/>
            <w:textDirection w:val="lrTb"/>
            <w:noWrap w:val="false"/>
          </w:tcPr>
          <w:p>
            <w:pPr>
              <w:pStyle w:val="1073"/>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073"/>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073"/>
              <w:jc w:val="center"/>
              <w:spacing w:before="40" w:after="40"/>
              <w:rPr>
                <w:bCs/>
                <w:sz w:val="24"/>
                <w:szCs w:val="24"/>
              </w:rPr>
            </w:pPr>
            <w:r>
              <w:rPr>
                <w:bCs/>
                <w:sz w:val="24"/>
                <w:szCs w:val="24"/>
              </w:rPr>
            </w:r>
            <w:r>
              <w:rPr>
                <w:bCs/>
                <w:sz w:val="24"/>
                <w:szCs w:val="24"/>
              </w:rPr>
            </w:r>
            <w:r>
              <w:rPr>
                <w:bCs/>
                <w:sz w:val="24"/>
                <w:szCs w:val="24"/>
              </w:rPr>
            </w:r>
          </w:p>
        </w:tc>
      </w:tr>
      <w:tr>
        <w:tblPrEx/>
        <w:trPr>
          <w:trHeight w:val="0"/>
        </w:trPr>
        <w:tc>
          <w:tcPr>
            <w:tcBorders>
              <w:left w:val="none" w:color="000000" w:sz="4" w:space="0"/>
            </w:tcBorders>
            <w:tcW w:w="430" w:type="dxa"/>
            <w:vAlign w:val="bottom"/>
            <w:textDirection w:val="lrTb"/>
            <w:noWrap w:val="false"/>
          </w:tcPr>
          <w:p>
            <w:pPr>
              <w:pStyle w:val="1073"/>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tcW w:w="1984" w:type="dxa"/>
            <w:vMerge w:val="continue"/>
            <w:textDirection w:val="lrTb"/>
            <w:noWrap w:val="false"/>
          </w:tcPr>
          <w:p>
            <w:pPr>
              <w:pStyle w:val="1073"/>
              <w:jc w:val="center"/>
              <w:spacing w:before="40" w:after="40"/>
              <w:rPr>
                <w:bCs/>
                <w:sz w:val="24"/>
                <w:szCs w:val="24"/>
              </w:rPr>
            </w:pPr>
            <w:r>
              <w:rPr>
                <w:bCs/>
                <w:sz w:val="24"/>
                <w:szCs w:val="24"/>
              </w:rPr>
            </w:r>
            <w:r>
              <w:rPr>
                <w:bCs/>
                <w:sz w:val="24"/>
                <w:szCs w:val="24"/>
              </w:rPr>
            </w:r>
            <w:r>
              <w:rPr>
                <w:bCs/>
                <w:sz w:val="24"/>
                <w:szCs w:val="24"/>
              </w:rPr>
            </w:r>
          </w:p>
        </w:tc>
        <w:tc>
          <w:tcPr>
            <w:gridSpan w:val="2"/>
            <w:tcW w:w="4683" w:type="dxa"/>
            <w:vMerge w:val="continue"/>
            <w:textDirection w:val="lrTb"/>
            <w:noWrap w:val="false"/>
          </w:tcPr>
          <w:p>
            <w:r/>
            <w:r/>
          </w:p>
        </w:tc>
        <w:tc>
          <w:tcPr>
            <w:tcW w:w="2408" w:type="dxa"/>
            <w:vMerge w:val="continue"/>
            <w:textDirection w:val="lrTb"/>
            <w:noWrap w:val="false"/>
          </w:tcPr>
          <w:p>
            <w:pPr>
              <w:pStyle w:val="1073"/>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073"/>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073"/>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073"/>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4"/>
            <w:tcW w:w="9075" w:type="dxa"/>
            <w:textDirection w:val="lrTb"/>
            <w:noWrap w:val="false"/>
          </w:tcPr>
          <w:p>
            <w:pPr>
              <w:pStyle w:val="1073"/>
              <w:jc w:val="center"/>
              <w:spacing w:before="40" w:after="40"/>
              <w:rPr>
                <w:bCs/>
                <w:sz w:val="24"/>
                <w:szCs w:val="24"/>
              </w:rPr>
            </w:pPr>
            <w:r>
              <w:rPr>
                <w:bCs/>
                <w:sz w:val="24"/>
                <w:szCs w:val="24"/>
              </w:rPr>
              <w:t xml:space="preserve">Подведение итогов закупки (определение Победителя) (подраздел </w:t>
            </w:r>
            <w:r>
              <w:rPr>
                <w:bCs/>
                <w:sz w:val="24"/>
                <w:szCs w:val="24"/>
              </w:rPr>
              <w:fldChar w:fldCharType="begin"/>
            </w:r>
            <w:r>
              <w:rPr>
                <w:bCs/>
                <w:sz w:val="24"/>
                <w:szCs w:val="24"/>
              </w:rPr>
              <w:instrText xml:space="preserve"> REF _Ref125362658 \r \h  \* MERGEFORMAT </w:instrText>
            </w:r>
            <w:r>
              <w:rPr>
                <w:bCs/>
                <w:sz w:val="24"/>
                <w:szCs w:val="24"/>
              </w:rPr>
              <w:fldChar w:fldCharType="separate"/>
            </w:r>
            <w:r>
              <w:rPr>
                <w:bCs/>
                <w:sz w:val="24"/>
                <w:szCs w:val="24"/>
              </w:rPr>
              <w:t xml:space="preserve">4.14</w:t>
            </w:r>
            <w:r>
              <w:rPr>
                <w:bCs/>
                <w:sz w:val="24"/>
                <w:szCs w:val="24"/>
              </w:rPr>
              <w:fldChar w:fldCharType="end"/>
            </w:r>
            <w:r>
              <w:rPr>
                <w:bCs/>
                <w:sz w:val="24"/>
                <w:szCs w:val="24"/>
              </w:rPr>
              <w:t xml:space="preserve">)</w:t>
            </w:r>
            <w:r>
              <w:rPr>
                <w:bCs/>
                <w:sz w:val="24"/>
                <w:szCs w:val="24"/>
              </w:rPr>
            </w:r>
            <w:r>
              <w:rPr>
                <w:bCs/>
                <w:sz w:val="24"/>
                <w:szCs w:val="24"/>
              </w:rPr>
            </w:r>
          </w:p>
        </w:tc>
        <w:tc>
          <w:tcPr>
            <w:tcW w:w="2267" w:type="dxa"/>
            <w:vMerge w:val="continue"/>
            <w:textDirection w:val="lrTb"/>
            <w:noWrap w:val="false"/>
          </w:tcPr>
          <w:p>
            <w:pPr>
              <w:pStyle w:val="1073"/>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073"/>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073"/>
              <w:jc w:val="center"/>
              <w:spacing w:before="40" w:after="40"/>
              <w:rPr>
                <w:bCs/>
                <w:sz w:val="24"/>
                <w:szCs w:val="24"/>
                <w:u w:val="single"/>
              </w:rPr>
            </w:pPr>
            <w:r>
              <w:rPr>
                <w:rFonts w:ascii="Wingdings 3" w:hAnsi="Wingdings 3" w:eastAsia="Wingdings 3" w:cs="Wingdings 3"/>
                <w:bCs/>
                <w:sz w:val="24"/>
                <w:szCs w:val="24"/>
                <w:u w:val="single"/>
              </w:rPr>
              <w:t xml:space="preserve">Ô</w:t>
            </w:r>
            <w:r>
              <w:rPr>
                <w:bCs/>
                <w:sz w:val="24"/>
                <w:szCs w:val="24"/>
                <w:u w:val="single"/>
              </w:rPr>
            </w:r>
            <w:r>
              <w:rPr>
                <w:bCs/>
                <w:sz w:val="24"/>
                <w:szCs w:val="24"/>
                <w:u w:val="single"/>
              </w:rPr>
            </w:r>
          </w:p>
        </w:tc>
        <w:tc>
          <w:tcPr>
            <w:gridSpan w:val="4"/>
            <w:tcW w:w="9075" w:type="dxa"/>
            <w:textDirection w:val="lrTb"/>
            <w:noWrap w:val="false"/>
          </w:tcPr>
          <w:p>
            <w:pPr>
              <w:pStyle w:val="1073"/>
              <w:jc w:val="center"/>
              <w:spacing w:before="40" w:after="40"/>
            </w:pPr>
            <w:r>
              <w:rPr>
                <w:bCs/>
                <w:sz w:val="24"/>
                <w:szCs w:val="24"/>
              </w:rPr>
              <w:t xml:space="preserve">Заключение Договора</w:t>
            </w:r>
            <w:r>
              <w:rPr>
                <w:bCs/>
                <w:sz w:val="24"/>
                <w:szCs w:val="24"/>
              </w:rPr>
              <w:br/>
              <w:t xml:space="preserve">(подраздел </w:t>
            </w:r>
            <w:r>
              <w:rPr>
                <w:bCs/>
                <w:sz w:val="24"/>
                <w:szCs w:val="24"/>
              </w:rPr>
              <w:fldChar w:fldCharType="begin"/>
            </w:r>
            <w:r>
              <w:rPr>
                <w:bCs/>
                <w:sz w:val="24"/>
                <w:szCs w:val="24"/>
              </w:rPr>
              <w:instrText xml:space="preserve"> REF _Ref138232981 \r \h </w:instrText>
            </w:r>
            <w:r>
              <w:rPr>
                <w:bCs/>
                <w:sz w:val="24"/>
                <w:szCs w:val="24"/>
              </w:rPr>
              <w:fldChar w:fldCharType="separate"/>
            </w:r>
            <w:r>
              <w:rPr>
                <w:bCs/>
                <w:sz w:val="24"/>
                <w:szCs w:val="24"/>
              </w:rPr>
              <w:t xml:space="preserve">5.2</w:t>
            </w:r>
            <w:r>
              <w:rPr>
                <w:bCs/>
                <w:sz w:val="24"/>
                <w:szCs w:val="24"/>
              </w:rPr>
              <w:fldChar w:fldCharType="end"/>
            </w:r>
            <w:r>
              <w:rPr>
                <w:bCs/>
                <w:sz w:val="24"/>
                <w:szCs w:val="24"/>
              </w:rPr>
              <w:t xml:space="preserve">)</w:t>
            </w:r>
            <w:r/>
          </w:p>
          <w:p>
            <w:pPr>
              <w:pStyle w:val="1073"/>
              <w:jc w:val="center"/>
              <w:spacing w:before="40" w:after="40"/>
            </w:pPr>
            <w:r/>
            <w:r/>
          </w:p>
        </w:tc>
        <w:tc>
          <w:tcPr>
            <w:gridSpan w:val="2"/>
            <w:tcBorders>
              <w:right w:val="none" w:color="000000" w:sz="4" w:space="0"/>
            </w:tcBorders>
            <w:tcW w:w="4498" w:type="dxa"/>
            <w:textDirection w:val="lrTb"/>
            <w:noWrap w:val="false"/>
          </w:tcPr>
          <w:p>
            <w:pPr>
              <w:pStyle w:val="1073"/>
              <w:jc w:val="center"/>
              <w:spacing w:before="40" w:after="40"/>
              <w:rPr>
                <w:bCs/>
                <w:sz w:val="24"/>
                <w:szCs w:val="24"/>
              </w:rPr>
            </w:pPr>
            <w:r>
              <w:rPr>
                <w:bCs/>
                <w:sz w:val="24"/>
                <w:szCs w:val="24"/>
              </w:rPr>
              <w:t xml:space="preserve">Уклонение Победителя</w:t>
            </w:r>
            <w:r>
              <w:rPr>
                <w:bCs/>
                <w:sz w:val="24"/>
                <w:szCs w:val="24"/>
              </w:rPr>
              <w:br/>
              <w:t xml:space="preserve">от заключения Договора (подраздел </w:t>
            </w:r>
            <w:r>
              <w:rPr>
                <w:bCs/>
                <w:sz w:val="24"/>
                <w:szCs w:val="24"/>
              </w:rPr>
              <w:fldChar w:fldCharType="begin"/>
            </w:r>
            <w:r>
              <w:rPr>
                <w:bCs/>
                <w:sz w:val="24"/>
                <w:szCs w:val="24"/>
              </w:rPr>
              <w:instrText xml:space="preserve"> REF _Ref125367068 \r \h  \* MERGEFORMAT </w:instrText>
            </w:r>
            <w:r>
              <w:rPr>
                <w:bCs/>
                <w:sz w:val="24"/>
                <w:szCs w:val="24"/>
              </w:rPr>
              <w:fldChar w:fldCharType="separate"/>
            </w:r>
            <w:r>
              <w:rPr>
                <w:bCs/>
                <w:sz w:val="24"/>
                <w:szCs w:val="24"/>
              </w:rPr>
              <w:t xml:space="preserve">5.3</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w:t>
            </w:r>
            <w:r>
              <w:rPr>
                <w:bCs/>
                <w:i/>
                <w:iCs/>
                <w:sz w:val="24"/>
                <w:szCs w:val="24"/>
              </w:rPr>
              <w:t xml:space="preserve"> </w:t>
            </w:r>
            <w:r>
              <w:rPr>
                <w:bCs/>
                <w:i/>
                <w:iCs/>
                <w:sz w:val="24"/>
                <w:szCs w:val="24"/>
              </w:rPr>
              <w:t xml:space="preserve">закупки)</w:t>
            </w:r>
            <w:r>
              <w:rPr>
                <w:bCs/>
                <w:sz w:val="24"/>
                <w:szCs w:val="24"/>
              </w:rPr>
            </w:r>
            <w:r>
              <w:rPr>
                <w:bCs/>
                <w:sz w:val="24"/>
                <w:szCs w:val="24"/>
              </w:rPr>
            </w:r>
          </w:p>
        </w:tc>
      </w:tr>
    </w:tbl>
    <w:p>
      <w:pPr>
        <w:pStyle w:val="1073"/>
      </w:pPr>
      <w:r/>
      <w:bookmarkStart w:id="88" w:name="_Ref125362061"/>
      <w:r/>
      <w:r/>
    </w:p>
    <w:p>
      <w:pPr>
        <w:pStyle w:val="1073"/>
        <w:sectPr>
          <w:footnotePr/>
          <w:endnotePr/>
          <w:type w:val="nextPage"/>
          <w:pgSz w:w="16838" w:h="11906" w:orient="landscape"/>
          <w:pgMar w:top="1134" w:right="851" w:bottom="850" w:left="851" w:header="567" w:footer="567" w:gutter="0"/>
          <w:cols w:num="1" w:sep="0" w:space="708" w:equalWidth="1"/>
          <w:docGrid w:linePitch="360"/>
        </w:sectPr>
      </w:pPr>
      <w:r/>
      <w:r/>
    </w:p>
    <w:p>
      <w:pPr>
        <w:pStyle w:val="1068"/>
      </w:pPr>
      <w:r/>
      <w:bookmarkStart w:id="89" w:name="_Ref130286532"/>
      <w:r/>
      <w:bookmarkStart w:id="90" w:name="_Toc224744318"/>
      <w:r>
        <w:t xml:space="preserve">Официальное размещение Извещения и Документации о закупке</w:t>
      </w:r>
      <w:bookmarkEnd w:id="88"/>
      <w:r/>
      <w:bookmarkEnd w:id="89"/>
      <w:r/>
      <w:bookmarkEnd w:id="90"/>
      <w:r/>
      <w:r/>
    </w:p>
    <w:p>
      <w:pPr>
        <w:pStyle w:val="1069"/>
      </w:pPr>
      <w:r>
        <w:t xml:space="preserve">Извещение и Документация о закупке официально размещены </w:t>
      </w:r>
      <w:r>
        <w:t xml:space="preserve">на Официальном сайте</w:t>
      </w:r>
      <w:r>
        <w:t xml:space="preserve"> </w:t>
      </w:r>
      <w:r>
        <w:t xml:space="preserve">(</w:t>
      </w:r>
      <w:r>
        <w:t xml:space="preserve">ЕИС</w:t>
      </w:r>
      <w:r>
        <w:t xml:space="preserve">)</w:t>
      </w:r>
      <w:r>
        <w:t xml:space="preserve"> и доступны для ознакомления без взимания платы. Иные публикации не влекут для</w:t>
      </w:r>
      <w:r>
        <w:t xml:space="preserve"> </w:t>
      </w:r>
      <w:r>
        <w:t xml:space="preserve">Организатора никаких последствий.</w:t>
      </w:r>
      <w:r/>
    </w:p>
    <w:p>
      <w:pPr>
        <w:pStyle w:val="1069"/>
      </w:pPr>
      <w:r>
        <w:t xml:space="preserve">При возникновении технических или иных неполадок, блокирующих доступ к Официальному сайту (ЕИС) в течение более чем 1 (одного) рабочего дня, информация размещается на официальном сайте Заказчика</w:t>
      </w:r>
      <w:r>
        <w:t xml:space="preserve"> </w:t>
      </w:r>
      <w:r>
        <w:t xml:space="preserve">с</w:t>
      </w:r>
      <w:r>
        <w:t xml:space="preserve"> </w:t>
      </w:r>
      <w:r>
        <w:t xml:space="preserve">последующим размещением ее </w:t>
      </w:r>
      <w:r>
        <w:t xml:space="preserve">на </w:t>
      </w:r>
      <w:r>
        <w:t xml:space="preserve">Официальном сайте (ЕИС) в течение 1 (одного) рабочего дня со дня устранения указанных неполадок.</w:t>
      </w:r>
      <w:r/>
    </w:p>
    <w:p>
      <w:pPr>
        <w:pStyle w:val="1069"/>
      </w:pPr>
      <w:r/>
      <w:bookmarkStart w:id="91" w:name="_Ref125362785"/>
      <w:r>
        <w:t xml:space="preserve">У</w:t>
      </w:r>
      <w:r>
        <w:t xml:space="preserve">частники могут получить Документацию о закупке </w:t>
      </w:r>
      <w:r>
        <w:t xml:space="preserve">также </w:t>
      </w:r>
      <w:r>
        <w:t xml:space="preserve">через ЭП. Порядок получения информации через ЭП определяется Регламентом ЭП, с</w:t>
      </w:r>
      <w:r>
        <w:t xml:space="preserve"> </w:t>
      </w:r>
      <w:r>
        <w:t xml:space="preserve">использованием которой проводится закупка.</w:t>
      </w:r>
      <w:bookmarkEnd w:id="91"/>
      <w:r/>
      <w:r/>
    </w:p>
    <w:p>
      <w:pPr>
        <w:pStyle w:val="1069"/>
      </w:pPr>
      <w:r>
        <w:t xml:space="preserve">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p>
    <w:p>
      <w:pPr>
        <w:pStyle w:val="1068"/>
      </w:pPr>
      <w:r/>
      <w:bookmarkStart w:id="92" w:name="_Ref130281199"/>
      <w:r/>
      <w:bookmarkStart w:id="93" w:name="_Ref130394681"/>
      <w:r/>
      <w:bookmarkStart w:id="94" w:name="_Toc224744319"/>
      <w:r>
        <w:t xml:space="preserve">Подготовка заявки</w:t>
      </w:r>
      <w:bookmarkEnd w:id="92"/>
      <w:r/>
      <w:bookmarkEnd w:id="93"/>
      <w:r/>
      <w:bookmarkEnd w:id="94"/>
      <w:r/>
      <w:r/>
    </w:p>
    <w:p>
      <w:pPr>
        <w:pStyle w:val="1069"/>
      </w:pPr>
      <w:r>
        <w:t xml:space="preserve">Участник должен подготовить заявку</w:t>
      </w:r>
      <w:r>
        <w:t xml:space="preserve"> с учетом требований</w:t>
      </w:r>
      <w:r>
        <w:t xml:space="preserve"> Документации о закупке</w:t>
      </w:r>
      <w:r>
        <w:t xml:space="preserve">.</w:t>
      </w:r>
      <w:r/>
    </w:p>
    <w:p>
      <w:pPr>
        <w:pStyle w:val="1069"/>
      </w:pPr>
      <w:r>
        <w:t xml:space="preserve">Участник самостоятельно несет все расходы, связанные с подготовкой и подачей заявки (подраздел </w:t>
      </w:r>
      <w:r>
        <w:fldChar w:fldCharType="begin"/>
      </w:r>
      <w:r>
        <w:instrText xml:space="preserve"> REF _Ref125362119 \r \h </w:instrText>
      </w:r>
      <w:r>
        <w:fldChar w:fldCharType="separate"/>
      </w:r>
      <w:r>
        <w:t xml:space="preserve">4.6</w:t>
      </w:r>
      <w:r>
        <w:fldChar w:fldCharType="end"/>
      </w:r>
      <w:r>
        <w:t xml:space="preserve">), а Организатор (Заказчик) по этим расходам не отвеч</w:t>
      </w:r>
      <w:r>
        <w:t xml:space="preserve">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r/>
    </w:p>
    <w:p>
      <w:pPr>
        <w:pStyle w:val="1069"/>
      </w:pPr>
      <w:r/>
      <w:bookmarkStart w:id="95" w:name="_Ref125365866"/>
      <w:r>
        <w:t xml:space="preserve">Участник должен подготовить заявку, </w:t>
      </w:r>
      <w:r>
        <w:t xml:space="preserve">включающую в себя полный комплект документов согласно перечню, определенному </w:t>
      </w:r>
      <w:hyperlink w:tooltip="#Прил06_СоставЗаявки" w:anchor="Прил06_СоставЗаявки" w:history="1">
        <w:r>
          <w:rPr>
            <w:rStyle w:val="1097"/>
          </w:rPr>
          <w:t xml:space="preserve">Приложением № </w:t>
        </w:r>
        <w:r>
          <w:rPr>
            <w:rStyle w:val="1097"/>
          </w:rPr>
          <w:t xml:space="preserve">6</w:t>
        </w:r>
        <w:r>
          <w:rPr>
            <w:rStyle w:val="1097"/>
          </w:rPr>
          <w:t xml:space="preserve"> – Состав заявки</w:t>
        </w:r>
      </w:hyperlink>
      <w:r>
        <w:t xml:space="preserve">. Образцы форм документов, включаемых в состав заявки, а также инструкции по их подготовке, приведены в </w:t>
      </w:r>
      <w:hyperlink w:tooltip="#Прил04_ФормыЗаявки" w:anchor="Прил04_ФормыЗаявки" w:history="1">
        <w:r>
          <w:rPr>
            <w:rStyle w:val="1097"/>
          </w:rPr>
          <w:t xml:space="preserve">Приложение № </w:t>
        </w:r>
        <w:r>
          <w:rPr>
            <w:rStyle w:val="1097"/>
          </w:rPr>
          <w:t xml:space="preserve">4</w:t>
        </w:r>
      </w:hyperlink>
      <w:r>
        <w:t xml:space="preserve">.</w:t>
      </w:r>
      <w:r/>
    </w:p>
    <w:p>
      <w:pPr>
        <w:pStyle w:val="1069"/>
      </w:pPr>
      <w:r/>
      <w:bookmarkStart w:id="96" w:name="_Ref130394854"/>
      <w:r>
        <w:t xml:space="preserve">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w:t>
      </w:r>
      <w:r>
        <w:t xml:space="preserve">при получении заявки на часть лота и (или) </w:t>
      </w:r>
      <w:r>
        <w:t xml:space="preserve">при получении двух и более заявок от одного Участника в рамках одного лота) все поданные им заявки подлежат отклонению.</w:t>
      </w:r>
      <w:bookmarkEnd w:id="95"/>
      <w:r/>
      <w:bookmarkEnd w:id="96"/>
      <w:r/>
      <w:r/>
    </w:p>
    <w:p>
      <w:pPr>
        <w:pStyle w:val="1069"/>
      </w:pPr>
      <w:r/>
      <w:bookmarkStart w:id="97" w:name="_Ref125361260"/>
      <w:r/>
      <w:bookmarkStart w:id="98" w:name="_Ref125362071"/>
      <w:r/>
      <w:bookmarkStart w:id="99" w:name="_Ref125366672"/>
      <w:r>
        <w:t xml:space="preserve">Заявка </w:t>
      </w:r>
      <w:r>
        <w:t xml:space="preserve">должна </w:t>
      </w:r>
      <w:r>
        <w:t xml:space="preserve">быть действительна в течение срока проведения закупки и до истечения срока, отведенного на заключение Договора (пункт </w:t>
      </w:r>
      <w:r>
        <w:fldChar w:fldCharType="begin"/>
      </w:r>
      <w:r>
        <w:instrText xml:space="preserve"> REF _Ref130293821 \r \h </w:instrText>
      </w:r>
      <w:r>
        <w:fldChar w:fldCharType="separate"/>
      </w:r>
      <w:r>
        <w:t xml:space="preserve">5.2.1</w:t>
      </w:r>
      <w:r>
        <w:fldChar w:fldCharType="end"/>
      </w:r>
      <w:r>
        <w:t xml:space="preserve">). В любом случае этот срок должен быть не менее чем 90 (девяносто) календарных дней с даты </w:t>
      </w:r>
      <w:r>
        <w:t xml:space="preserve">окончания срока подачи заявок (подраздел </w:t>
      </w:r>
      <w:r>
        <w:fldChar w:fldCharType="begin"/>
      </w:r>
      <w:r>
        <w:instrText xml:space="preserve"> REF _Ref125359973 \r \h </w:instrText>
      </w:r>
      <w:r>
        <w:instrText xml:space="preserve"> \* MERGEFORMAT </w:instrText>
      </w:r>
      <w:r>
        <w:fldChar w:fldCharType="separate"/>
      </w:r>
      <w:r>
        <w:t xml:space="preserve">1.2</w:t>
      </w:r>
      <w:r>
        <w:fldChar w:fldCharType="end"/>
      </w:r>
      <w:r>
        <w:t xml:space="preserve">). Указание меньшего срока действия заявки в Письме о подаче оферты (форма </w:t>
      </w:r>
      <w:r>
        <w:t xml:space="preserve">2</w:t>
      </w:r>
      <w:r>
        <w:t xml:space="preserve">) (</w:t>
      </w:r>
      <w:hyperlink w:tooltip="#Прил04_ФормыЗаявки" w:anchor="Прил04_ФормыЗаявки" w:history="1">
        <w:r>
          <w:rPr>
            <w:rStyle w:val="1097"/>
          </w:rPr>
          <w:t xml:space="preserve">Приложение № </w:t>
        </w:r>
        <w:r>
          <w:rPr>
            <w:rStyle w:val="1097"/>
          </w:rPr>
          <w:t xml:space="preserve">4</w:t>
        </w:r>
      </w:hyperlink>
      <w:r>
        <w:t xml:space="preserve">) может служить основанием для</w:t>
      </w:r>
      <w:r>
        <w:t xml:space="preserve"> </w:t>
      </w:r>
      <w:r>
        <w:t xml:space="preserve">отклонения заявки.</w:t>
      </w:r>
      <w:r/>
    </w:p>
    <w:p>
      <w:pPr>
        <w:pStyle w:val="1069"/>
      </w:pPr>
      <w:r>
        <w:t xml:space="preserve">Все документы, входящие в </w:t>
      </w:r>
      <w:r>
        <w:t xml:space="preserve">состав </w:t>
      </w:r>
      <w:r>
        <w:t xml:space="preserve">заявк</w:t>
      </w:r>
      <w:r>
        <w:t xml:space="preserve">и</w:t>
      </w:r>
      <w:r>
        <w:t xml:space="preserve">, должны быть подготовлены на</w:t>
      </w:r>
      <w:r>
        <w:t xml:space="preserve"> </w:t>
      </w:r>
      <w:r>
        <w:t xml:space="preserve">русском язык</w:t>
      </w:r>
      <w:r>
        <w:t xml:space="preserve">е</w:t>
      </w:r>
      <w:r>
        <w:t xml:space="preserve">. И</w:t>
      </w:r>
      <w:r>
        <w:t xml:space="preserve">сключение</w:t>
      </w:r>
      <w:r>
        <w:t xml:space="preserve"> составляют </w:t>
      </w:r>
      <w:r>
        <w:t xml:space="preserve">документ</w:t>
      </w:r>
      <w:r>
        <w:t xml:space="preserve">ы</w:t>
      </w:r>
      <w:r>
        <w:t xml:space="preserve">, оригиналы которых выданы Участнику третьими лицами на ином языке</w:t>
      </w:r>
      <w:r>
        <w:t xml:space="preserve">: они</w:t>
      </w:r>
      <w:r>
        <w:t xml:space="preserve"> могут быть представлены на языке оригинала при условии, что к ним приложен перевод этих документов на</w:t>
      </w:r>
      <w:r>
        <w:t xml:space="preserve"> </w:t>
      </w:r>
      <w:r>
        <w:t xml:space="preserve">русский язык (в</w:t>
      </w:r>
      <w:r>
        <w:t xml:space="preserve"> </w:t>
      </w:r>
      <w:r>
        <w:t xml:space="preserve">специально оговоренных случаях</w:t>
      </w:r>
      <w:r>
        <w:t xml:space="preserve"> </w:t>
      </w:r>
      <w:r>
        <w:t xml:space="preserve">– с</w:t>
      </w:r>
      <w:r>
        <w:t xml:space="preserve"> </w:t>
      </w:r>
      <w:r>
        <w:t xml:space="preserve">апостилем</w:t>
      </w:r>
      <w:r>
        <w:t xml:space="preserve"> </w:t>
      </w:r>
      <w:r>
        <w:t xml:space="preserve">согласно Гаагской конвенции 1961 года</w:t>
      </w:r>
      <w:r>
        <w:t xml:space="preserve">).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w:t>
      </w:r>
      <w:r>
        <w:t xml:space="preserve"> </w:t>
      </w:r>
      <w:r>
        <w:t xml:space="preserve">рассматривать документы, не</w:t>
      </w:r>
      <w:r>
        <w:t xml:space="preserve"> </w:t>
      </w:r>
      <w:r>
        <w:t xml:space="preserve">переведенные на русский язык.</w:t>
      </w:r>
      <w:r/>
    </w:p>
    <w:p>
      <w:pPr>
        <w:pStyle w:val="1069"/>
      </w:pPr>
      <w:r>
        <w:t xml:space="preserve">Все суммы денежных средств в документах, входящих в </w:t>
      </w:r>
      <w:r>
        <w:t xml:space="preserve">состав </w:t>
      </w:r>
      <w:r>
        <w:t xml:space="preserve">заявк</w:t>
      </w:r>
      <w:r>
        <w:t xml:space="preserve">и</w:t>
      </w:r>
      <w:r>
        <w:t xml:space="preserve">, должны быть выражены в российских рублях</w:t>
      </w:r>
      <w:r>
        <w:t xml:space="preserve">. И</w:t>
      </w:r>
      <w:r>
        <w:t xml:space="preserve">сключение</w:t>
      </w:r>
      <w:r>
        <w:t xml:space="preserve"> </w:t>
      </w:r>
      <w:r>
        <w:t xml:space="preserve">составляют</w:t>
      </w:r>
      <w:r>
        <w:t xml:space="preserve"> документы</w:t>
      </w:r>
      <w:r>
        <w:t xml:space="preserve">, оригиналы которых выданы Участнику третьими лицами с выражением сумм денежных средств в иных валютах</w:t>
      </w:r>
      <w:r>
        <w:t xml:space="preserve">: они</w:t>
      </w:r>
      <w:r>
        <w:t xml:space="preserve"> могут быть представлены в валюте оригинала при</w:t>
      </w:r>
      <w:r>
        <w:t xml:space="preserve"> </w:t>
      </w:r>
      <w:r>
        <w:t xml:space="preserve">условии, что к ним будут приложены комментарии с переводом этих сумм в российские рубли</w:t>
      </w:r>
      <w:r>
        <w:t xml:space="preserve"> (по</w:t>
      </w:r>
      <w:r>
        <w:t xml:space="preserve"> официально</w:t>
      </w:r>
      <w:r>
        <w:t xml:space="preserve">му</w:t>
      </w:r>
      <w:r>
        <w:t xml:space="preserve"> курс</w:t>
      </w:r>
      <w:r>
        <w:t xml:space="preserve">у</w:t>
      </w:r>
      <w:r>
        <w:t xml:space="preserve"> валюты, </w:t>
      </w:r>
      <w:r>
        <w:t xml:space="preserve">установленному </w:t>
      </w:r>
      <w:r>
        <w:t xml:space="preserve">Центральным банком Российской Федерации</w:t>
      </w:r>
      <w:r>
        <w:t xml:space="preserve"> на дату выдачи документа</w:t>
      </w:r>
      <w:r>
        <w:t xml:space="preserve">, с указанием такого курса</w:t>
      </w:r>
      <w:r>
        <w:t xml:space="preserve">)</w:t>
      </w:r>
      <w:r>
        <w:t xml:space="preserve">.</w:t>
      </w:r>
      <w:r/>
    </w:p>
    <w:p>
      <w:pPr>
        <w:pStyle w:val="1069"/>
      </w:pPr>
      <w:r/>
      <w:bookmarkStart w:id="100" w:name="_Ref125370700"/>
      <w:r/>
      <w:bookmarkStart w:id="101" w:name="_Ref125370708"/>
      <w:r>
        <w:t xml:space="preserve">Итоговая стоимость заявки (цена Договора) без учета НДС не должна превышать установленную Заказчиком НМЦ (подраздел </w:t>
      </w:r>
      <w:r>
        <w:fldChar w:fldCharType="begin"/>
      </w:r>
      <w:r>
        <w:instrText xml:space="preserve"> REF _Ref125359973 \r \h </w:instrText>
      </w:r>
      <w:r>
        <w:fldChar w:fldCharType="separate"/>
      </w:r>
      <w:r>
        <w:t xml:space="preserve">1.2</w:t>
      </w:r>
      <w:r>
        <w:fldChar w:fldCharType="end"/>
      </w:r>
      <w:r>
        <w:t xml:space="preserve">), в противном случае заявка будет отклонена.</w:t>
      </w:r>
      <w:r/>
    </w:p>
    <w:p>
      <w:pPr>
        <w:pStyle w:val="1069"/>
      </w:pPr>
      <w:r>
        <w:t xml:space="preserve">Итоговая стоимость заявки (цена Договора) должна включать в себя сумму всех расходов, предусмотренных </w:t>
      </w:r>
      <w:hyperlink w:tooltip="#Прил01_ТехТребования" w:anchor="Прил01_ТехТребования" w:history="1">
        <w:r>
          <w:rPr>
            <w:rStyle w:val="1097"/>
          </w:rPr>
          <w:t xml:space="preserve">Техническими требованиями (Приложение № 1)</w:t>
        </w:r>
      </w:hyperlink>
      <w:r>
        <w:t xml:space="preserve"> и </w:t>
      </w:r>
      <w:hyperlink w:tooltip="#Прил02_ПроектДоговора" w:anchor="Прил02_ПроектДоговора" w:history="1">
        <w:r>
          <w:rPr>
            <w:rStyle w:val="1097"/>
          </w:rPr>
          <w:t xml:space="preserve">Проектом договора (Приложение № 2)</w:t>
        </w:r>
      </w:hyperlink>
      <w:r>
        <w:t xml:space="preserve">, а также сумму налогов</w:t>
      </w:r>
      <w:r>
        <w:t xml:space="preserve"> (</w:t>
      </w:r>
      <w:r>
        <w:rPr>
          <w:rFonts w:cs="Times New Roman"/>
        </w:rPr>
        <w:t xml:space="preserve">за исключением НДС, в случае его уплаты</w:t>
      </w:r>
      <w:r>
        <w:rPr>
          <w:rFonts w:cs="Times New Roman"/>
        </w:rPr>
        <w:t xml:space="preserve">)</w:t>
      </w:r>
      <w:r>
        <w:t xml:space="preserve"> и других обязательных платежей, подлежащих уплате в соответствии с нормами законодательства (если иное не установлено Документацией о закупке). При</w:t>
      </w:r>
      <w:r>
        <w:t xml:space="preserve"> </w:t>
      </w:r>
      <w:r>
        <w:t xml:space="preserve">этом сумма НДС (в случае его уплаты) выделяется отдельно и не входит в</w:t>
      </w:r>
      <w:r>
        <w:t xml:space="preserve"> </w:t>
      </w:r>
      <w:r>
        <w:t xml:space="preserve">итоговую стоимость заявки Участника, являющегося плательщиком НДС.</w:t>
      </w:r>
      <w:bookmarkEnd w:id="100"/>
      <w:r/>
      <w:bookmarkEnd w:id="101"/>
      <w:r/>
      <w:r/>
    </w:p>
    <w:p>
      <w:pPr>
        <w:pStyle w:val="1069"/>
      </w:pPr>
      <w:r/>
      <w:bookmarkStart w:id="102" w:name="_Ref130379863"/>
      <w:r>
        <w:t xml:space="preserve">Участник в составе заявк</w:t>
      </w:r>
      <w:r>
        <w:t xml:space="preserve">и</w:t>
      </w:r>
      <w:r>
        <w:t xml:space="preserve"> </w:t>
      </w:r>
      <w:r>
        <w:t xml:space="preserve">предоставляет по установленной форме Технического предложения (форма </w:t>
      </w:r>
      <w:r>
        <w:t xml:space="preserve">4</w:t>
      </w:r>
      <w:r>
        <w:t xml:space="preserve">;</w:t>
      </w:r>
      <w:r>
        <w:t xml:space="preserve"> </w:t>
      </w:r>
      <w:hyperlink w:tooltip="#Прил04_ФормыЗаявки" w:anchor="Прил04_ФормыЗаявки" w:history="1">
        <w:r>
          <w:rPr>
            <w:rStyle w:val="1097"/>
          </w:rPr>
          <w:t xml:space="preserve">Приложение № </w:t>
        </w:r>
        <w:r>
          <w:rPr>
            <w:rStyle w:val="1097"/>
          </w:rPr>
          <w:t xml:space="preserve">4</w:t>
        </w:r>
      </w:hyperlink>
      <w:r>
        <w:t xml:space="preserve">) подробное предложение в отношении поставляемой</w:t>
      </w:r>
      <w:r>
        <w:t xml:space="preserve"> продукции</w:t>
      </w:r>
      <w:r>
        <w:t xml:space="preserve"> </w:t>
      </w:r>
      <w:r>
        <w:t xml:space="preserve">на условиях, указанных в</w:t>
      </w:r>
      <w:r>
        <w:t xml:space="preserve"> </w:t>
      </w:r>
      <w:r>
        <w:t xml:space="preserve">Документации о закупке</w:t>
      </w:r>
      <w:r>
        <w:t xml:space="preserve">, в том числе в </w:t>
      </w:r>
      <w:hyperlink w:tooltip="#Прил01_ТехТребования" w:anchor="Прил01_ТехТребования" w:history="1">
        <w:r>
          <w:rPr>
            <w:rStyle w:val="1097"/>
          </w:rPr>
          <w:t xml:space="preserve">Технических требованиях (Приложение №</w:t>
        </w:r>
        <w:r>
          <w:rPr>
            <w:rStyle w:val="1097"/>
          </w:rPr>
          <w:t xml:space="preserve"> </w:t>
        </w:r>
        <w:r>
          <w:rPr>
            <w:rStyle w:val="1097"/>
          </w:rPr>
          <w:t xml:space="preserve">1)</w:t>
        </w:r>
      </w:hyperlink>
      <w:r>
        <w:t xml:space="preserve">.</w:t>
      </w:r>
      <w:bookmarkEnd w:id="102"/>
      <w:r/>
      <w:r/>
    </w:p>
    <w:p>
      <w:pPr>
        <w:pStyle w:val="1069"/>
      </w:pPr>
      <w:r>
        <w:t xml:space="preserve">При описании продукции Участник обязан подтвердить соответствие поставляемой продукции требованиям Документации о закупке, в том числе требованиям, установленным в </w:t>
      </w:r>
      <w:hyperlink w:tooltip="#Прил01_ТехТребования" w:anchor="Прил01_ТехТребования" w:history="1">
        <w:r>
          <w:rPr>
            <w:rStyle w:val="1097"/>
          </w:rPr>
          <w:t xml:space="preserve">Технических требованиях (Приложение №</w:t>
        </w:r>
        <w:r>
          <w:rPr>
            <w:rStyle w:val="1097"/>
          </w:rPr>
          <w:t xml:space="preserve"> </w:t>
        </w:r>
        <w:r>
          <w:rPr>
            <w:rStyle w:val="1097"/>
          </w:rPr>
          <w:t xml:space="preserve">1)</w:t>
        </w:r>
      </w:hyperlink>
      <w:r>
        <w:t xml:space="preserve">, в отношении всех показателей, которые в ней установлены. При этом должны указываться точные и не допускающие двусмысленного толкования показатели.</w:t>
      </w:r>
      <w:r/>
    </w:p>
    <w:p>
      <w:pPr>
        <w:pStyle w:val="1069"/>
      </w:pPr>
      <w:r>
        <w:t xml:space="preserve">Е</w:t>
      </w:r>
      <w:r>
        <w:t xml:space="preserve">сли </w:t>
      </w:r>
      <w:r>
        <w:t xml:space="preserve">в </w:t>
      </w:r>
      <w:hyperlink w:tooltip="#Прил01_ТехТребования" w:anchor="Прил01_ТехТребования" w:history="1">
        <w:r>
          <w:rPr>
            <w:rStyle w:val="1097"/>
          </w:rPr>
          <w:t xml:space="preserve">Технически</w:t>
        </w:r>
        <w:r>
          <w:rPr>
            <w:rStyle w:val="1097"/>
          </w:rPr>
          <w:t xml:space="preserve">х</w:t>
        </w:r>
        <w:r>
          <w:rPr>
            <w:rStyle w:val="1097"/>
          </w:rPr>
          <w:t xml:space="preserve"> требованиях (Приложение № 1)</w:t>
        </w:r>
      </w:hyperlink>
      <w:r>
        <w:t xml:space="preserve"> указаны товарные знаки, знаки обслуживания, фирменные наименования, патенты, полезные модели, промышленные образцы, наименование страны происхождения товара или наименование производителя, сопровождаемые словами «или эквивалент», и Участник предлагает </w:t>
      </w:r>
      <w:r>
        <w:t xml:space="preserve">продукцию</w:t>
      </w:r>
      <w:r>
        <w:t xml:space="preserve">, являющ</w:t>
      </w:r>
      <w:r>
        <w:t xml:space="preserve">уюся</w:t>
      </w:r>
      <w:r>
        <w:t xml:space="preserve"> </w:t>
      </w:r>
      <w:r>
        <w:t xml:space="preserve">эквивалентом требуемой,</w:t>
      </w:r>
      <w:r>
        <w:t xml:space="preserve"> </w:t>
      </w:r>
      <w:r>
        <w:t xml:space="preserve">то он</w:t>
      </w:r>
      <w:r>
        <w:t xml:space="preserve"> при описании продукции обязан подтвердить соответствие предлагаемой продукции показателям эквивалентности, установленным в</w:t>
      </w:r>
      <w:r>
        <w:t xml:space="preserve"> </w:t>
      </w:r>
      <w:hyperlink w:tooltip="#Прил01_ТехТребования" w:anchor="Прил01_ТехТребования" w:history="1">
        <w:r>
          <w:rPr>
            <w:rStyle w:val="1097"/>
          </w:rPr>
          <w:t xml:space="preserve">Технически</w:t>
        </w:r>
        <w:r>
          <w:rPr>
            <w:rStyle w:val="1097"/>
          </w:rPr>
          <w:t xml:space="preserve">х</w:t>
        </w:r>
        <w:r>
          <w:rPr>
            <w:rStyle w:val="1097"/>
          </w:rPr>
          <w:t xml:space="preserve"> требованиях (Приложение № 1)</w:t>
        </w:r>
      </w:hyperlink>
      <w:r>
        <w:t xml:space="preserve">.</w:t>
      </w:r>
      <w:r/>
    </w:p>
    <w:p>
      <w:pPr>
        <w:pStyle w:val="1069"/>
      </w:pPr>
      <w:r/>
      <w:bookmarkStart w:id="103" w:name="_Ref130379876"/>
      <w:r>
        <w:t xml:space="preserve">При описании продукции Участник должен использовать общеизвестные (стандартные) показатели, термины и сокращения в соответствии с законодательством и </w:t>
      </w:r>
      <w:hyperlink w:tooltip="#Прил01_ТехТребования" w:anchor="Прил01_ТехТребования" w:history="1">
        <w:r>
          <w:rPr>
            <w:rStyle w:val="1097"/>
          </w:rPr>
          <w:t xml:space="preserve">Технически</w:t>
        </w:r>
        <w:r>
          <w:rPr>
            <w:rStyle w:val="1097"/>
          </w:rPr>
          <w:t xml:space="preserve">ми</w:t>
        </w:r>
        <w:r>
          <w:rPr>
            <w:rStyle w:val="1097"/>
          </w:rPr>
          <w:t xml:space="preserve"> требования</w:t>
        </w:r>
        <w:r>
          <w:rPr>
            <w:rStyle w:val="1097"/>
          </w:rPr>
          <w:t xml:space="preserve">ми</w:t>
        </w:r>
        <w:r>
          <w:rPr>
            <w:rStyle w:val="1097"/>
          </w:rPr>
          <w:t xml:space="preserve"> (Приложение № 1)</w:t>
        </w:r>
      </w:hyperlink>
      <w:r>
        <w:t xml:space="preserve">.</w:t>
      </w:r>
      <w:bookmarkEnd w:id="103"/>
      <w:r/>
      <w:r/>
    </w:p>
    <w:p>
      <w:pPr>
        <w:pStyle w:val="1069"/>
      </w:pPr>
      <w:r/>
      <w:bookmarkStart w:id="104" w:name="_Ref130455500"/>
      <w:r>
        <w:t xml:space="preserve">В случае нарушения Участником требований к описанию продукции</w:t>
      </w:r>
      <w:r>
        <w:t xml:space="preserve"> (пункты </w:t>
      </w:r>
      <w:r>
        <w:fldChar w:fldCharType="begin"/>
      </w:r>
      <w:r>
        <w:instrText xml:space="preserve"> REF _Ref130379863 \r \h </w:instrText>
      </w:r>
      <w:r>
        <w:fldChar w:fldCharType="separate"/>
      </w:r>
      <w:r>
        <w:t xml:space="preserve">4.3.11</w:t>
      </w:r>
      <w:r>
        <w:fldChar w:fldCharType="end"/>
      </w:r>
      <w:r>
        <w:t xml:space="preserve"> – </w:t>
      </w:r>
      <w:r>
        <w:fldChar w:fldCharType="begin"/>
      </w:r>
      <w:r>
        <w:instrText xml:space="preserve"> REF _Ref130379876 \r \h </w:instrText>
      </w:r>
      <w:r>
        <w:fldChar w:fldCharType="separate"/>
      </w:r>
      <w:r>
        <w:t xml:space="preserve">4.3.14</w:t>
      </w:r>
      <w:r>
        <w:fldChar w:fldCharType="end"/>
      </w:r>
      <w:r>
        <w:t xml:space="preserve">)</w:t>
      </w:r>
      <w:r>
        <w:t xml:space="preserve"> Организатор вправе отклонить заявку такого Участника от дальнейшего участия в закупке.</w:t>
      </w:r>
      <w:bookmarkEnd w:id="104"/>
      <w:r/>
      <w:r/>
    </w:p>
    <w:p>
      <w:pPr>
        <w:pStyle w:val="1069"/>
        <w:keepNext/>
      </w:pPr>
      <w:r/>
      <w:bookmarkStart w:id="105" w:name="_Ref125370398"/>
      <w:r/>
      <w:bookmarkStart w:id="106" w:name="_Ref125714384"/>
      <w:r>
        <w:t xml:space="preserve">При подготовке заявки необходимо также учитывать требования в отношении применения законодательства о национальном режиме (подраздел</w:t>
      </w:r>
      <w:r>
        <w:t xml:space="preserve"> </w:t>
      </w:r>
      <w:r>
        <w:fldChar w:fldCharType="begin"/>
      </w:r>
      <w:r>
        <w:instrText xml:space="preserve"> REF _Ref125359973 \r \h </w:instrText>
      </w:r>
      <w:r>
        <w:fldChar w:fldCharType="separate"/>
      </w:r>
      <w:r>
        <w:t xml:space="preserve">1.2</w:t>
      </w:r>
      <w:r>
        <w:fldChar w:fldCharType="end"/>
      </w:r>
      <w:r>
        <w:t xml:space="preserve">)</w:t>
      </w:r>
      <w:r>
        <w:t xml:space="preserve">.</w:t>
      </w:r>
      <w:r/>
    </w:p>
    <w:p>
      <w:pPr>
        <w:pStyle w:val="1069"/>
        <w:keepNext/>
      </w:pPr>
      <w:r>
        <w:t xml:space="preserve">Документы, входящие в заявку, не должны содержать недостоверные сведения или намеренно искаженную информацию</w:t>
      </w:r>
      <w:r>
        <w:t xml:space="preserve">. Т</w:t>
      </w:r>
      <w:r>
        <w:t xml:space="preserve">акже должны отсутствовать</w:t>
      </w:r>
      <w:r>
        <w:t xml:space="preserve">:</w:t>
      </w:r>
      <w:r/>
    </w:p>
    <w:p>
      <w:pPr>
        <w:pStyle w:val="1070"/>
      </w:pPr>
      <w:r>
        <w:t xml:space="preserve">внутренние противоречия между различными частями </w:t>
      </w:r>
      <w:r>
        <w:t xml:space="preserve">и</w:t>
      </w:r>
      <w:r>
        <w:t xml:space="preserve"> (</w:t>
      </w:r>
      <w:r>
        <w:t xml:space="preserve">или</w:t>
      </w:r>
      <w:r>
        <w:t xml:space="preserve">)</w:t>
      </w:r>
      <w:r>
        <w:t xml:space="preserve"> документами заявки, в том числе по тексту внутри одного документа</w:t>
      </w:r>
      <w:r>
        <w:t xml:space="preserve">;</w:t>
      </w:r>
      <w:r/>
    </w:p>
    <w:p>
      <w:pPr>
        <w:pStyle w:val="1070"/>
      </w:pPr>
      <w:r>
        <w:t xml:space="preserve">противоречия между документами заявки и сведениями, указанными Участником в</w:t>
      </w:r>
      <w:r>
        <w:t xml:space="preserve"> </w:t>
      </w:r>
      <w:r>
        <w:t xml:space="preserve">структурированных формах на ЭП</w:t>
      </w:r>
      <w:r>
        <w:t xml:space="preserve">.</w:t>
      </w:r>
      <w:bookmarkEnd w:id="105"/>
      <w:r/>
      <w:bookmarkEnd w:id="106"/>
      <w:r/>
      <w:r/>
    </w:p>
    <w:p>
      <w:pPr>
        <w:pStyle w:val="1069"/>
      </w:pPr>
      <w:r>
        <w:t xml:space="preserve">Представленные в составе заявки документы, оформленные / выданные государственными, лицензирующими, сертификационными, аккредитационными органами </w:t>
      </w:r>
      <w:r>
        <w:t xml:space="preserve">и</w:t>
      </w:r>
      <w:r>
        <w:t xml:space="preserve"> (</w:t>
      </w:r>
      <w:r>
        <w:t xml:space="preserve">или</w:t>
      </w:r>
      <w:r>
        <w:t xml:space="preserve">)</w:t>
      </w:r>
      <w:r>
        <w:t xml:space="preserve"> саморегулируемыми организациями, должны соответствовать императивным требованиям (при наличии) законодательства в отношении:</w:t>
      </w:r>
      <w:r/>
    </w:p>
    <w:p>
      <w:pPr>
        <w:pStyle w:val="1070"/>
      </w:pPr>
      <w:r>
        <w:t xml:space="preserve">полномочий таких органов / лиц на оформление</w:t>
      </w:r>
      <w:r>
        <w:t xml:space="preserve"> этих </w:t>
      </w:r>
      <w:r>
        <w:t xml:space="preserve">документов;</w:t>
      </w:r>
      <w:r/>
    </w:p>
    <w:p>
      <w:pPr>
        <w:pStyle w:val="1070"/>
      </w:pPr>
      <w:r>
        <w:t xml:space="preserve">формы, объема и содержания </w:t>
      </w:r>
      <w:r>
        <w:t xml:space="preserve">этих</w:t>
      </w:r>
      <w:r>
        <w:t xml:space="preserve"> документов.</w:t>
      </w:r>
      <w:r/>
    </w:p>
    <w:p>
      <w:pPr>
        <w:pStyle w:val="1069"/>
        <w:keepNext/>
      </w:pPr>
      <w:r>
        <w:t xml:space="preserve">Участник должен подготовить </w:t>
      </w:r>
      <w:r>
        <w:t xml:space="preserve">з</w:t>
      </w:r>
      <w:r>
        <w:t xml:space="preserve">аявк</w:t>
      </w:r>
      <w:r>
        <w:t xml:space="preserve">у </w:t>
      </w:r>
      <w:r>
        <w:t xml:space="preserve">с соблюдением следующ</w:t>
      </w:r>
      <w:r>
        <w:t xml:space="preserve">их условий</w:t>
      </w:r>
      <w:r>
        <w:t xml:space="preserve">:</w:t>
      </w:r>
      <w:r/>
    </w:p>
    <w:p>
      <w:pPr>
        <w:pStyle w:val="1070"/>
      </w:pPr>
      <w:r>
        <w:t xml:space="preserve">документы заявки могут предоставляться как в графическом виде (</w:t>
      </w:r>
      <w:r>
        <w:t xml:space="preserve">в том числе в в</w:t>
      </w:r>
      <w:r>
        <w:t xml:space="preserve">иде </w:t>
      </w:r>
      <w:r>
        <w:t xml:space="preserve">скан-копии</w:t>
      </w:r>
      <w:r>
        <w:t xml:space="preserve">;</w:t>
      </w:r>
      <w:r>
        <w:t xml:space="preserve"> рекомендуемый формат: </w:t>
      </w:r>
      <w:r>
        <w:t xml:space="preserve">Portable Document Format (</w:t>
      </w:r>
      <w:r>
        <w:t xml:space="preserve">*.</w:t>
      </w:r>
      <w:r>
        <w:rPr>
          <w:lang w:val="en-US"/>
        </w:rPr>
        <w:t xml:space="preserve">pdf</w:t>
      </w:r>
      <w:r>
        <w:t xml:space="preserve">)</w:t>
      </w:r>
      <w:r>
        <w:t xml:space="preserve">), так и в</w:t>
      </w:r>
      <w:r>
        <w:t xml:space="preserve"> </w:t>
      </w:r>
      <w:r>
        <w:t xml:space="preserve">электронном виде (в</w:t>
      </w:r>
      <w:r>
        <w:t xml:space="preserve"> </w:t>
      </w:r>
      <w:r>
        <w:t xml:space="preserve">формате Microsoft Word (*.doc</w:t>
      </w:r>
      <w:r>
        <w:rPr>
          <w:lang w:val="en-US"/>
        </w:rPr>
        <w:t xml:space="preserve">x</w:t>
      </w:r>
      <w:r>
        <w:t xml:space="preserve">), Microsoft Excel (*.xls</w:t>
      </w:r>
      <w:r>
        <w:rPr>
          <w:lang w:val="en-US"/>
        </w:rPr>
        <w:t xml:space="preserve">x</w:t>
      </w:r>
      <w:r>
        <w:t xml:space="preserve">), и других)</w:t>
      </w:r>
      <w:r>
        <w:t xml:space="preserve">. Исключение составляют </w:t>
      </w:r>
      <w:r>
        <w:t xml:space="preserve">Письмо о подаче оферты, а также </w:t>
      </w:r>
      <w:r>
        <w:t xml:space="preserve">документы</w:t>
      </w:r>
      <w:r>
        <w:t xml:space="preserve">, выданны</w:t>
      </w:r>
      <w:r>
        <w:t xml:space="preserve">е</w:t>
      </w:r>
      <w:r>
        <w:t xml:space="preserve"> Участнику третьими лицами, которые должны быть предоставлены </w:t>
      </w:r>
      <w:r>
        <w:t xml:space="preserve">только </w:t>
      </w:r>
      <w:r>
        <w:t xml:space="preserve">в графическом виде (</w:t>
      </w:r>
      <w:r>
        <w:t xml:space="preserve">в том числе в виде </w:t>
      </w:r>
      <w:r>
        <w:t xml:space="preserve">скан-копии</w:t>
      </w:r>
      <w:r>
        <w:t xml:space="preserve">; рекомендуемый формат: </w:t>
      </w:r>
      <w:r>
        <w:t xml:space="preserve">Portable Document Format (</w:t>
      </w:r>
      <w:r>
        <w:t xml:space="preserve">*.</w:t>
      </w:r>
      <w:r>
        <w:rPr>
          <w:lang w:val="en-US"/>
        </w:rPr>
        <w:t xml:space="preserve">pdf</w:t>
      </w:r>
      <w:r>
        <w:t xml:space="preserve">)</w:t>
      </w:r>
      <w:r>
        <w:t xml:space="preserve">);</w:t>
      </w:r>
      <w:r/>
    </w:p>
    <w:p>
      <w:pPr>
        <w:pStyle w:val="1070"/>
      </w:pPr>
      <w:r>
        <w:t xml:space="preserve">электронные копии документов, заверенные треть</w:t>
      </w:r>
      <w:r>
        <w:t xml:space="preserve">ей</w:t>
      </w:r>
      <w:r>
        <w:t xml:space="preserve"> </w:t>
      </w:r>
      <w:r>
        <w:t xml:space="preserve">стороной</w:t>
      </w:r>
      <w:r>
        <w:t xml:space="preserve">,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r/>
    </w:p>
    <w:p>
      <w:pPr>
        <w:pStyle w:val="1070"/>
      </w:pPr>
      <w:r>
        <w:t xml:space="preserve">все файлы не должны иметь защиты от их открытия,</w:t>
      </w:r>
      <w:r>
        <w:t xml:space="preserve"> изменения,</w:t>
      </w:r>
      <w:r>
        <w:t xml:space="preserve"> копирования их содержимого или их печати;</w:t>
      </w:r>
      <w:r/>
    </w:p>
    <w:p>
      <w:pPr>
        <w:pStyle w:val="1070"/>
      </w:pPr>
      <w:r>
        <w:t xml:space="preserve">файлы электронной заявки рекомендуется именовать так</w:t>
      </w:r>
      <w:r>
        <w:t xml:space="preserve">, чтобы можно</w:t>
      </w:r>
      <w:r>
        <w:t xml:space="preserve"> </w:t>
      </w:r>
      <w:r>
        <w:t xml:space="preserve">было </w:t>
      </w:r>
      <w:r>
        <w:t xml:space="preserve">идентифицировать содержание данного файла заявки</w:t>
      </w:r>
      <w:r>
        <w:t xml:space="preserve"> (</w:t>
      </w:r>
      <w:r>
        <w:t xml:space="preserve">указа</w:t>
      </w:r>
      <w:r>
        <w:t xml:space="preserve">ть в</w:t>
      </w:r>
      <w:r>
        <w:t xml:space="preserve"> </w:t>
      </w:r>
      <w:r>
        <w:t xml:space="preserve">названии файла содержащийся в нем документ). К</w:t>
      </w:r>
      <w:r>
        <w:t xml:space="preserve">аждый документ рекомендуется размещать в отдельном файле;</w:t>
      </w:r>
      <w:r/>
    </w:p>
    <w:p>
      <w:pPr>
        <w:pStyle w:val="1070"/>
      </w:pPr>
      <w:r>
        <w:t xml:space="preserve">е</w:t>
      </w:r>
      <w:r>
        <w:t xml:space="preserve">сли какой-либо документ представлен в нечитаемом виде, данный документ считается непредставленным.</w:t>
      </w:r>
      <w:r/>
    </w:p>
    <w:p>
      <w:pPr>
        <w:pStyle w:val="1069"/>
      </w:pPr>
      <w:r>
        <w:t xml:space="preserve">Никакие исправления в документах заявки не имеют силу, </w:t>
      </w:r>
      <w:r>
        <w:t xml:space="preserve">за исключением</w:t>
      </w:r>
      <w:r>
        <w:t xml:space="preserve"> </w:t>
      </w:r>
      <w:r>
        <w:t xml:space="preserve">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r/>
    </w:p>
    <w:p>
      <w:pPr>
        <w:pStyle w:val="1068"/>
      </w:pPr>
      <w:r/>
      <w:bookmarkStart w:id="107" w:name="_Ref130394205"/>
      <w:r/>
      <w:bookmarkStart w:id="108" w:name="_Ref130394785"/>
      <w:r/>
      <w:bookmarkStart w:id="109" w:name="_Ref130394802"/>
      <w:r/>
      <w:bookmarkStart w:id="110" w:name="_Toc224744320"/>
      <w:r>
        <w:t xml:space="preserve">Разъяснение Документации о закупке</w:t>
      </w:r>
      <w:bookmarkEnd w:id="97"/>
      <w:r/>
      <w:bookmarkEnd w:id="98"/>
      <w:r/>
      <w:bookmarkEnd w:id="99"/>
      <w:r/>
      <w:bookmarkEnd w:id="107"/>
      <w:r/>
      <w:bookmarkEnd w:id="108"/>
      <w:r/>
      <w:bookmarkEnd w:id="109"/>
      <w:r/>
      <w:bookmarkEnd w:id="110"/>
      <w:r/>
      <w:r/>
    </w:p>
    <w:p>
      <w:pPr>
        <w:pStyle w:val="1069"/>
      </w:pPr>
      <w:r>
        <w:t xml:space="preserve">Участники вправе обратиться к Организатору за разъяснениями Документации о закупке.</w:t>
      </w:r>
      <w:r/>
    </w:p>
    <w:p>
      <w:pPr>
        <w:pStyle w:val="1069"/>
      </w:pPr>
      <w:r>
        <w:t xml:space="preserve">З</w:t>
      </w:r>
      <w:r>
        <w:t xml:space="preserve">апросы подаются в соответствии с Регламентами и инструкциями </w:t>
      </w:r>
      <w:r>
        <w:t xml:space="preserve">О</w:t>
      </w:r>
      <w:r>
        <w:t xml:space="preserve">ператора ЭП, опубликованными на сайте соответствующей ЭП.</w:t>
      </w:r>
      <w:r/>
    </w:p>
    <w:p>
      <w:pPr>
        <w:pStyle w:val="1069"/>
      </w:pPr>
      <w:r>
        <w:t xml:space="preserve">Организатор обязуется ответить на любой вопрос, поступивший не позднее чем за 3</w:t>
      </w:r>
      <w:r>
        <w:t xml:space="preserve"> </w:t>
      </w:r>
      <w:r>
        <w:t xml:space="preserve">(три) рабочих дня до даты окончания срока подачи заявок. </w:t>
      </w:r>
      <w:r>
        <w:t xml:space="preserve">В случае поступления вопросов с нарушением установленного срока</w:t>
      </w:r>
      <w:r>
        <w:t xml:space="preserve"> Организатор вправе не предоставлять разъяснения.</w:t>
      </w:r>
      <w:r/>
    </w:p>
    <w:p>
      <w:pPr>
        <w:pStyle w:val="1069"/>
      </w:pPr>
      <w: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fldChar w:fldCharType="begin"/>
      </w:r>
      <w:r>
        <w:instrText xml:space="preserve"> REF _Ref125359973 \r \h </w:instrText>
      </w:r>
      <w:r>
        <w:fldChar w:fldCharType="separate"/>
      </w:r>
      <w:r>
        <w:t xml:space="preserve">1.2</w:t>
      </w:r>
      <w:r>
        <w:fldChar w:fldCharType="end"/>
      </w:r>
      <w:r>
        <w:t xml:space="preserve">, но в любом случае не позднее чем в течение 3 (трех) рабочих дней с даты поступления такого запроса. </w:t>
      </w:r>
      <w:r>
        <w:t xml:space="preserve">Копия ответа размещается Организатором на ЭП</w:t>
      </w:r>
      <w:r>
        <w:t xml:space="preserve">.</w:t>
      </w:r>
      <w:r/>
    </w:p>
    <w:p>
      <w:pPr>
        <w:pStyle w:val="1069"/>
      </w:pPr>
      <w:r>
        <w:t xml:space="preserve">Организатор</w:t>
      </w:r>
      <w:r>
        <w:t xml:space="preserve"> также</w:t>
      </w:r>
      <w:r>
        <w:t xml:space="preserve"> вправе по собственной инициативе </w:t>
      </w:r>
      <w:r>
        <w:t xml:space="preserve">(без получения запросов от Участников)</w:t>
      </w:r>
      <w:r>
        <w:t xml:space="preserve"> </w:t>
      </w:r>
      <w:r>
        <w:t xml:space="preserve">официально разместить разъяснения Документации о</w:t>
      </w:r>
      <w:r>
        <w:t xml:space="preserve"> </w:t>
      </w:r>
      <w:r>
        <w:t xml:space="preserve">закупке.</w:t>
      </w:r>
      <w:r/>
    </w:p>
    <w:p>
      <w:pPr>
        <w:pStyle w:val="1069"/>
      </w:pPr>
      <w:r>
        <w:t xml:space="preserve">Разъяснения Документации о закупке носят справочный характер и не могут изменять предмет закупки и условия </w:t>
      </w:r>
      <w:hyperlink w:tooltip="#Прил02_ПроектДоговора" w:anchor="Прил02_ПроектДоговора" w:history="1">
        <w:r>
          <w:rPr>
            <w:rStyle w:val="1097"/>
          </w:rPr>
          <w:t xml:space="preserve">П</w:t>
        </w:r>
        <w:r>
          <w:rPr>
            <w:rStyle w:val="1097"/>
          </w:rPr>
          <w:t xml:space="preserve">роекта </w:t>
        </w:r>
        <w:r>
          <w:rPr>
            <w:rStyle w:val="1097"/>
          </w:rPr>
          <w:t xml:space="preserve">д</w:t>
        </w:r>
        <w:r>
          <w:rPr>
            <w:rStyle w:val="1097"/>
          </w:rPr>
          <w:t xml:space="preserve">оговора</w:t>
        </w:r>
        <w:r>
          <w:rPr>
            <w:rStyle w:val="1097"/>
          </w:rPr>
          <w:t xml:space="preserve"> (Приложения № 2)</w:t>
        </w:r>
      </w:hyperlink>
      <w:r>
        <w:rPr>
          <w:rStyle w:val="1097"/>
        </w:rPr>
        <w:t xml:space="preserve">,</w:t>
      </w:r>
      <w:r>
        <w:t xml:space="preserve"> в</w:t>
      </w:r>
      <w:r>
        <w:t xml:space="preserve"> </w:t>
      </w:r>
      <w:r>
        <w:t xml:space="preserve">противном случае </w:t>
      </w:r>
      <w:r>
        <w:t xml:space="preserve">вносятся</w:t>
      </w:r>
      <w:r>
        <w:t xml:space="preserve"> изменения в Документацию о</w:t>
      </w:r>
      <w:r>
        <w:t xml:space="preserve"> </w:t>
      </w:r>
      <w:r>
        <w:t xml:space="preserve">закупке. При этом Участники обязаны учитывать разъяснения Организатора при подготовке своих заявок. Все риски и последствия за подачу заявки без</w:t>
      </w:r>
      <w:r>
        <w:t xml:space="preserve"> </w:t>
      </w:r>
      <w:r>
        <w:t xml:space="preserve">учета официально размещенных разъяснений несет Участник.</w:t>
      </w:r>
      <w:r/>
    </w:p>
    <w:p>
      <w:pPr>
        <w:pStyle w:val="1069"/>
      </w:pPr>
      <w:r>
        <w:t xml:space="preserve">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w:t>
      </w:r>
      <w:r>
        <w:t xml:space="preserve"> </w:t>
      </w:r>
      <w:r>
        <w:t xml:space="preserve">вправе на нее ссылаться.</w:t>
      </w:r>
      <w:r/>
    </w:p>
    <w:p>
      <w:pPr>
        <w:pStyle w:val="1068"/>
      </w:pPr>
      <w:r/>
      <w:bookmarkStart w:id="111" w:name="_Ref125362076"/>
      <w:r/>
      <w:bookmarkStart w:id="112" w:name="_Ref125363891"/>
      <w:r/>
      <w:bookmarkStart w:id="113" w:name="_Ref125364404"/>
      <w:r/>
      <w:bookmarkStart w:id="114" w:name="_Toc224744321"/>
      <w:r>
        <w:t xml:space="preserve">Изменения </w:t>
      </w:r>
      <w:r>
        <w:t xml:space="preserve">Извещени</w:t>
      </w:r>
      <w:r>
        <w:t xml:space="preserve">я</w:t>
      </w:r>
      <w:r>
        <w:t xml:space="preserve"> </w:t>
      </w:r>
      <w:r>
        <w:t xml:space="preserve">и</w:t>
      </w:r>
      <w:r>
        <w:t xml:space="preserve"> </w:t>
      </w:r>
      <w:r>
        <w:t xml:space="preserve">(или)</w:t>
      </w:r>
      <w:r>
        <w:t xml:space="preserve"> </w:t>
      </w:r>
      <w:r>
        <w:t xml:space="preserve">Документаци</w:t>
      </w:r>
      <w:r>
        <w:t xml:space="preserve">и</w:t>
      </w:r>
      <w:r>
        <w:t xml:space="preserve"> о закупке</w:t>
      </w:r>
      <w:bookmarkEnd w:id="111"/>
      <w:r/>
      <w:bookmarkEnd w:id="112"/>
      <w:r/>
      <w:bookmarkEnd w:id="113"/>
      <w:r/>
      <w:bookmarkEnd w:id="114"/>
      <w:r/>
      <w:r/>
    </w:p>
    <w:p>
      <w:pPr>
        <w:pStyle w:val="1069"/>
      </w:pPr>
      <w:r>
        <w:t xml:space="preserve">Организатор в любой момент до окончания срока подачи заявок (</w:t>
      </w:r>
      <w:r>
        <w:t xml:space="preserve">подраздел </w:t>
      </w:r>
      <w:r>
        <w:fldChar w:fldCharType="begin"/>
      </w:r>
      <w:r>
        <w:instrText xml:space="preserve"> REF _Ref125359973 \r \h </w:instrText>
      </w:r>
      <w:r>
        <w:fldChar w:fldCharType="separate"/>
      </w:r>
      <w:r>
        <w:t xml:space="preserve">1.2</w:t>
      </w:r>
      <w:r>
        <w:fldChar w:fldCharType="end"/>
      </w:r>
      <w:r>
        <w:t xml:space="preserve">) вправе внести изменения в Извещение </w:t>
      </w:r>
      <w:r>
        <w:t xml:space="preserve">и</w:t>
      </w:r>
      <w:r>
        <w:t xml:space="preserve"> (</w:t>
      </w:r>
      <w:r>
        <w:t xml:space="preserve">или</w:t>
      </w:r>
      <w:r>
        <w:t xml:space="preserve">)</w:t>
      </w:r>
      <w:r>
        <w:t xml:space="preserve"> Документацию о закупке. При</w:t>
      </w:r>
      <w:r>
        <w:t xml:space="preserve"> </w:t>
      </w:r>
      <w:r>
        <w:t xml:space="preserve">этом официальному размещению подлежит обновленная редакция Извещения </w:t>
      </w:r>
      <w:r>
        <w:t xml:space="preserve">и</w:t>
      </w:r>
      <w:r>
        <w:t xml:space="preserve"> (</w:t>
      </w:r>
      <w:r>
        <w:t xml:space="preserve">или</w:t>
      </w:r>
      <w:r>
        <w:t xml:space="preserve">)</w:t>
      </w:r>
      <w:r>
        <w:t xml:space="preserve"> Документации о закупке, а также перечень внесенных изменений в них.</w:t>
      </w:r>
      <w:r/>
    </w:p>
    <w:p>
      <w:pPr>
        <w:pStyle w:val="1069"/>
      </w:pPr>
      <w:r/>
      <w:bookmarkStart w:id="115" w:name="_Ref125550844"/>
      <w:r>
        <w:t xml:space="preserve">После окончания срока подачи заявок допускается изменени</w:t>
      </w:r>
      <w:r>
        <w:t xml:space="preserve">е</w:t>
      </w:r>
      <w:r>
        <w:t xml:space="preserve"> только в части установленных Документацией о закупке дат рассмотрения заявок и подведения итогов закупки (</w:t>
      </w:r>
      <w:r>
        <w:t xml:space="preserve">подраздел </w:t>
      </w:r>
      <w:r>
        <w:fldChar w:fldCharType="begin"/>
      </w:r>
      <w:r>
        <w:instrText xml:space="preserve"> REF _Ref125359973 \r \h </w:instrText>
      </w:r>
      <w:r>
        <w:fldChar w:fldCharType="separate"/>
      </w:r>
      <w:r>
        <w:t xml:space="preserve">1.2</w:t>
      </w:r>
      <w:r>
        <w:fldChar w:fldCharType="end"/>
      </w:r>
      <w:r>
        <w:t xml:space="preserve">) в пределах срока действия заявок и с уведомлением Участников, подавших заявки.</w:t>
      </w:r>
      <w:bookmarkEnd w:id="115"/>
      <w:r/>
      <w:r/>
    </w:p>
    <w:p>
      <w:pPr>
        <w:pStyle w:val="1069"/>
      </w:pPr>
      <w:r>
        <w:t xml:space="preserve">Текст изменений официально размещается в течение 3</w:t>
      </w:r>
      <w:r>
        <w:t xml:space="preserve"> </w:t>
      </w:r>
      <w:r>
        <w:t xml:space="preserve">(трех) календарных дней со дня принятия решения о внесении указанных изменений.</w:t>
      </w:r>
      <w:r>
        <w:t xml:space="preserve"> В</w:t>
      </w:r>
      <w:r>
        <w:t xml:space="preserve">се</w:t>
      </w:r>
      <w:r>
        <w:t xml:space="preserve"> Участники, официально получившие Документацию о закупке через ЭП, получат соответствующие уведомления в порядке, установленном Регламентом ЭП.</w:t>
      </w:r>
      <w:r/>
    </w:p>
    <w:p>
      <w:pPr>
        <w:pStyle w:val="1069"/>
      </w:pPr>
      <w:r>
        <w:t xml:space="preserve">При </w:t>
      </w:r>
      <w:r>
        <w:t xml:space="preserve">внесении изменений в Документацию о закупке (за исключением указанного в пункте </w:t>
      </w:r>
      <w:r>
        <w:fldChar w:fldCharType="begin"/>
      </w:r>
      <w:r>
        <w:instrText xml:space="preserve"> REF _Ref125550844 \r \h </w:instrText>
      </w:r>
      <w:r>
        <w:instrText xml:space="preserve"> \* MERGEFORMAT </w:instrText>
      </w:r>
      <w:r>
        <w:fldChar w:fldCharType="separate"/>
      </w:r>
      <w:r>
        <w:t xml:space="preserve">4.5.2</w:t>
      </w:r>
      <w:r>
        <w:fldChar w:fldCharType="end"/>
      </w:r>
      <w: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w:t>
      </w:r>
      <w:r>
        <w:t xml:space="preserve"> половины от минимального срока подачи заявок, установленного в Положении о закупке для данного способа, а именно </w:t>
      </w:r>
      <w:r>
        <w:t xml:space="preserve">не менее 3 (трех) рабочих</w:t>
      </w:r>
      <w:r>
        <w:t xml:space="preserve"> дней.</w:t>
      </w:r>
      <w:r/>
    </w:p>
    <w:p>
      <w:pPr>
        <w:pStyle w:val="1069"/>
      </w:pPr>
      <w:r>
        <w:t xml:space="preserve">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r/>
    </w:p>
    <w:p>
      <w:pPr>
        <w:pStyle w:val="1068"/>
      </w:pPr>
      <w:r/>
      <w:bookmarkStart w:id="116" w:name="_Ref125362119"/>
      <w:r/>
      <w:bookmarkStart w:id="117" w:name="_Toc224744322"/>
      <w:r>
        <w:t xml:space="preserve">Подача заявок и их прием</w:t>
      </w:r>
      <w:bookmarkEnd w:id="116"/>
      <w:r/>
      <w:bookmarkEnd w:id="117"/>
      <w:r/>
      <w:r/>
    </w:p>
    <w:p>
      <w:pPr>
        <w:pStyle w:val="1069"/>
      </w:pPr>
      <w:r>
        <w:t xml:space="preserve">Участник вправе подать </w:t>
      </w:r>
      <w:r>
        <w:t xml:space="preserve">одну </w:t>
      </w:r>
      <w:r>
        <w:t xml:space="preserve">подготовленную </w:t>
      </w:r>
      <w:r>
        <w:t xml:space="preserve">заявку на участие в закупке</w:t>
      </w:r>
      <w:r>
        <w:t xml:space="preserve"> </w:t>
      </w:r>
      <w:r>
        <w:t xml:space="preserve">в</w:t>
      </w:r>
      <w:r>
        <w:t xml:space="preserve"> </w:t>
      </w:r>
      <w:r>
        <w:t xml:space="preserve">любое время начиная с</w:t>
      </w:r>
      <w:r>
        <w:t xml:space="preserve"> </w:t>
      </w:r>
      <w:r>
        <w:t xml:space="preserve">даты официального размещения Извещения и до</w:t>
      </w:r>
      <w:r>
        <w:t xml:space="preserve"> </w:t>
      </w:r>
      <w:r>
        <w:t xml:space="preserve">окончания срока подачи заявок</w:t>
      </w:r>
      <w:r>
        <w:t xml:space="preserve"> (подраздел </w:t>
      </w:r>
      <w:r>
        <w:fldChar w:fldCharType="begin"/>
      </w:r>
      <w:r>
        <w:instrText xml:space="preserve"> REF _Ref125359973 \r \h </w:instrText>
      </w:r>
      <w:r>
        <w:fldChar w:fldCharType="separate"/>
      </w:r>
      <w:r>
        <w:t xml:space="preserve">1.2</w:t>
      </w:r>
      <w:r>
        <w:fldChar w:fldCharType="end"/>
      </w:r>
      <w:r>
        <w:t xml:space="preserve">)</w:t>
      </w:r>
      <w:r>
        <w:t xml:space="preserve">. Заявки, поданные позднее установленного срока, не могут быть приняты </w:t>
      </w:r>
      <w:r>
        <w:t xml:space="preserve">Организатором</w:t>
      </w:r>
      <w:r>
        <w:t xml:space="preserve">, независимо от</w:t>
      </w:r>
      <w:r>
        <w:t xml:space="preserve"> </w:t>
      </w:r>
      <w:r>
        <w:t xml:space="preserve">причин опоздания.</w:t>
      </w:r>
      <w:r/>
    </w:p>
    <w:p>
      <w:pPr>
        <w:pStyle w:val="1069"/>
      </w:pPr>
      <w:r>
        <w:t xml:space="preserve">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w:t>
      </w:r>
      <w:r>
        <w:t xml:space="preserve">и</w:t>
      </w:r>
      <w:r>
        <w:t xml:space="preserve"> о закупке (включая все приложения к ней).</w:t>
      </w:r>
      <w:r/>
    </w:p>
    <w:p>
      <w:pPr>
        <w:pStyle w:val="1069"/>
      </w:pPr>
      <w:r>
        <w:t xml:space="preserve">Заявка должна быть подготовлена в форме электронного документа и подана с использованием функционала ЭП</w:t>
      </w:r>
      <w:r>
        <w:t xml:space="preserve"> в доступном для прочтения формате</w:t>
      </w:r>
      <w:r>
        <w:t xml:space="preserve">.</w:t>
      </w:r>
      <w:r>
        <w:t xml:space="preserve"> При этом </w:t>
      </w:r>
      <w:r>
        <w:t xml:space="preserve">Участник должен </w:t>
      </w:r>
      <w:r>
        <w:t xml:space="preserve">сканировать документы после того, как они будут оформлены в соответствии с требованиями Документации о закупке.</w:t>
      </w:r>
      <w:r/>
    </w:p>
    <w:p>
      <w:pPr>
        <w:pStyle w:val="1069"/>
      </w:pPr>
      <w:r>
        <w:t xml:space="preserve">Заявка должна быть подписана </w:t>
      </w:r>
      <w:bookmarkStart w:id="118" w:name="_Hlk219296949"/>
      <w:r>
        <w:t xml:space="preserve">усиленной квалифицированной </w:t>
      </w:r>
      <w:bookmarkEnd w:id="118"/>
      <w:r>
        <w:t xml:space="preserve">электронной подписью лица, которое является уполномоченным представителем Участника</w:t>
      </w:r>
      <w:r>
        <w:t xml:space="preserve">.</w:t>
      </w:r>
      <w:r/>
    </w:p>
    <w:p>
      <w:pPr>
        <w:pStyle w:val="1069"/>
      </w:pPr>
      <w:r>
        <w:t xml:space="preserve">Правила </w:t>
      </w:r>
      <w:r>
        <w:t xml:space="preserve">подачи заявок</w:t>
      </w:r>
      <w:r>
        <w:t xml:space="preserve"> также</w:t>
      </w:r>
      <w:r>
        <w:t xml:space="preserve"> определяются Регламентом ЭП. Заявки, поданные через ЭП, дублировать в адрес Организатора по почте, электронной почте и другими способами не требуется. Заявки, полученные Организатором не через ЭП, не рассматриваются</w:t>
      </w:r>
      <w:r>
        <w:t xml:space="preserve">.</w:t>
      </w:r>
      <w:r/>
    </w:p>
    <w:p>
      <w:pPr>
        <w:pStyle w:val="1069"/>
      </w:pPr>
      <w:r>
        <w:t xml:space="preserve">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r/>
    </w:p>
    <w:p>
      <w:pPr>
        <w:pStyle w:val="1069"/>
      </w:pPr>
      <w:r>
        <w:t xml:space="preserve">О</w:t>
      </w:r>
      <w:r>
        <w:t xml:space="preserve">ператор ЭП до окончания срока подачи заявок обеспечивает конфиденциальность информации, содержащейся в поданных заявках.</w:t>
      </w:r>
      <w:r/>
    </w:p>
    <w:p>
      <w:pPr>
        <w:pStyle w:val="1068"/>
      </w:pPr>
      <w:r/>
      <w:bookmarkStart w:id="119" w:name="_Ref125362130"/>
      <w:r/>
      <w:bookmarkStart w:id="120" w:name="_Ref125362192"/>
      <w:r/>
      <w:bookmarkStart w:id="121" w:name="_Ref125363819"/>
      <w:r/>
      <w:bookmarkStart w:id="122" w:name="_Ref125365136"/>
      <w:r/>
      <w:bookmarkStart w:id="123" w:name="_Toc224744323"/>
      <w:r>
        <w:t xml:space="preserve">Изменение и отзыв заявок</w:t>
      </w:r>
      <w:bookmarkEnd w:id="119"/>
      <w:r/>
      <w:bookmarkEnd w:id="120"/>
      <w:r/>
      <w:bookmarkEnd w:id="121"/>
      <w:r/>
      <w:bookmarkEnd w:id="122"/>
      <w:r/>
      <w:bookmarkEnd w:id="123"/>
      <w:r/>
      <w:r/>
    </w:p>
    <w:p>
      <w:pPr>
        <w:pStyle w:val="1069"/>
      </w:pPr>
      <w:r>
        <w:t xml:space="preserve">Участник вправе изменить или отозвать поданную им ранее заявку до момента окончания срока подачи заявок. </w:t>
      </w:r>
      <w:r>
        <w:t xml:space="preserve">В</w:t>
      </w:r>
      <w:r>
        <w:t xml:space="preserve">несение изменений в заявку</w:t>
      </w:r>
      <w:r>
        <w:t xml:space="preserve">, отзыв заявки</w:t>
      </w:r>
      <w:r>
        <w:t xml:space="preserve"> </w:t>
      </w:r>
      <w:r>
        <w:t xml:space="preserve">после этого времени </w:t>
      </w:r>
      <w:r>
        <w:t xml:space="preserve">не</w:t>
      </w:r>
      <w:r>
        <w:t xml:space="preserve"> </w:t>
      </w:r>
      <w:r>
        <w:t xml:space="preserve">допускаются</w:t>
      </w:r>
      <w:r>
        <w:t xml:space="preserve">, кроме случаев, прямо предусмотренных Документацией о</w:t>
      </w:r>
      <w:r>
        <w:t xml:space="preserve"> </w:t>
      </w:r>
      <w:r>
        <w:t xml:space="preserve">закупке.</w:t>
      </w:r>
      <w:r/>
    </w:p>
    <w:p>
      <w:pPr>
        <w:pStyle w:val="1069"/>
      </w:pPr>
      <w:r>
        <w:t xml:space="preserve">Отзыв Участником ранее поданной заявки является отказом от участия в</w:t>
      </w:r>
      <w:r>
        <w:t xml:space="preserve"> </w:t>
      </w:r>
      <w:r>
        <w:t xml:space="preserve">закупке, отозванные заявки не рассматриваются Организатором</w:t>
      </w:r>
      <w:r>
        <w:t xml:space="preserve"> по существу</w:t>
      </w:r>
      <w:r>
        <w:t xml:space="preserve">.</w:t>
      </w:r>
      <w:r/>
    </w:p>
    <w:p>
      <w:pPr>
        <w:pStyle w:val="1069"/>
      </w:pPr>
      <w:r>
        <w:t xml:space="preserve">Изменение и </w:t>
      </w:r>
      <w:r>
        <w:t xml:space="preserve">отзыв Участником ранее поданной заявки </w:t>
      </w:r>
      <w:r>
        <w:t xml:space="preserve">о</w:t>
      </w:r>
      <w:r>
        <w:t xml:space="preserve">существляется в</w:t>
      </w:r>
      <w:r>
        <w:t xml:space="preserve"> </w:t>
      </w:r>
      <w:r>
        <w:t xml:space="preserve">порядке, аналогичном порядку подачи и приема заявок, установленному в подразделе </w:t>
      </w:r>
      <w:r>
        <w:fldChar w:fldCharType="begin"/>
      </w:r>
      <w:r>
        <w:instrText xml:space="preserve"> REF _Ref125362119 \w \h </w:instrText>
      </w:r>
      <w:r>
        <w:instrText xml:space="preserve"> \* MERGEFORMAT </w:instrText>
      </w:r>
      <w:r>
        <w:fldChar w:fldCharType="separate"/>
      </w:r>
      <w:r>
        <w:t xml:space="preserve">4.6</w:t>
      </w:r>
      <w:r>
        <w:fldChar w:fldCharType="end"/>
      </w:r>
      <w:r>
        <w:t xml:space="preserve">.</w:t>
      </w:r>
      <w:r/>
    </w:p>
    <w:p>
      <w:pPr>
        <w:pStyle w:val="1069"/>
      </w:pPr>
      <w:r>
        <w:t xml:space="preserve">И</w:t>
      </w:r>
      <w:r>
        <w:t xml:space="preserve">зменения и отзыв заявки осуществляется посредством функционала ЭП</w:t>
      </w:r>
      <w:r>
        <w:t xml:space="preserve"> (</w:t>
      </w:r>
      <w:r>
        <w:t xml:space="preserve">подробный порядок определяется Регламентом ЭП</w:t>
      </w:r>
      <w:r>
        <w:t xml:space="preserve">)</w:t>
      </w:r>
      <w:r>
        <w:t xml:space="preserve">.</w:t>
      </w:r>
      <w:r/>
    </w:p>
    <w:p>
      <w:pPr>
        <w:pStyle w:val="1068"/>
      </w:pPr>
      <w:r/>
      <w:bookmarkStart w:id="124" w:name="_Ref130221619"/>
      <w:r/>
      <w:bookmarkStart w:id="125" w:name="_Toc224744324"/>
      <w:r/>
      <w:bookmarkStart w:id="126" w:name="_Ref125364340"/>
      <w:r>
        <w:t xml:space="preserve">Открыти</w:t>
      </w:r>
      <w:r>
        <w:t xml:space="preserve">е</w:t>
      </w:r>
      <w:r>
        <w:t xml:space="preserve"> доступа к заявкам</w:t>
      </w:r>
      <w:bookmarkEnd w:id="124"/>
      <w:r/>
      <w:bookmarkEnd w:id="125"/>
      <w:r/>
      <w:r/>
    </w:p>
    <w:p>
      <w:pPr>
        <w:pStyle w:val="1069"/>
      </w:pPr>
      <w:r>
        <w:t xml:space="preserve">Оператор ЭП направляет в адрес Организатора заявки в срок не позднее 1 (одного) дня, следующего за днем окончания срока подачи заявок (подраздел </w:t>
      </w:r>
      <w:r>
        <w:fldChar w:fldCharType="begin"/>
      </w:r>
      <w:r>
        <w:instrText xml:space="preserve"> REF _Ref125359973 \r \h </w:instrText>
      </w:r>
      <w:r>
        <w:fldChar w:fldCharType="separate"/>
      </w:r>
      <w:r>
        <w:t xml:space="preserve">1.2</w:t>
      </w:r>
      <w:r>
        <w:fldChar w:fldCharType="end"/>
      </w:r>
      <w:r>
        <w:t xml:space="preserve">).</w:t>
      </w:r>
      <w:r/>
    </w:p>
    <w:p>
      <w:pPr>
        <w:pStyle w:val="1069"/>
      </w:pPr>
      <w:r>
        <w:t xml:space="preserve">Подробные правила открытия Организатору доступа заявкам определяются Регламентом ЭП, с использованием которой проводится закупка.</w:t>
      </w:r>
      <w:r/>
    </w:p>
    <w:p>
      <w:pPr>
        <w:pStyle w:val="1068"/>
      </w:pPr>
      <w:r/>
      <w:bookmarkStart w:id="127" w:name="_Ref125362364"/>
      <w:r/>
      <w:bookmarkStart w:id="128" w:name="_Ref125366689"/>
      <w:r/>
      <w:bookmarkStart w:id="129" w:name="_Ref135749133"/>
      <w:r/>
      <w:bookmarkStart w:id="130" w:name="_Toc224744325"/>
      <w:r/>
      <w:bookmarkEnd w:id="126"/>
      <w:r>
        <w:t xml:space="preserve">Рассмотрение заявок (</w:t>
      </w:r>
      <w:r>
        <w:t xml:space="preserve">отборочная стадия</w:t>
      </w:r>
      <w:r>
        <w:t xml:space="preserve">)</w:t>
      </w:r>
      <w:bookmarkEnd w:id="127"/>
      <w:r/>
      <w:bookmarkEnd w:id="128"/>
      <w:r>
        <w:t xml:space="preserve">, </w:t>
      </w:r>
      <w:r>
        <w:t xml:space="preserve">в том числе (при</w:t>
      </w:r>
      <w:r>
        <w:t xml:space="preserve"> </w:t>
      </w:r>
      <w:r>
        <w:t xml:space="preserve">необходимости) проведение аккредитаци</w:t>
      </w:r>
      <w:r>
        <w:t xml:space="preserve">и</w:t>
      </w:r>
      <w:bookmarkEnd w:id="129"/>
      <w:r/>
      <w:bookmarkEnd w:id="130"/>
      <w:r/>
      <w:r/>
    </w:p>
    <w:p>
      <w:pPr>
        <w:pStyle w:val="1069"/>
      </w:pPr>
      <w:r>
        <w:t xml:space="preserve">Дата окончания срока рассмотрения заявок </w:t>
      </w:r>
      <w:r>
        <w:t xml:space="preserve">установлена в подразделе </w:t>
      </w:r>
      <w:r>
        <w:fldChar w:fldCharType="begin"/>
      </w:r>
      <w:r>
        <w:instrText xml:space="preserve"> REF _Ref125359973 \r \h </w:instrText>
      </w:r>
      <w:r>
        <w:fldChar w:fldCharType="separate"/>
      </w:r>
      <w:r>
        <w:t xml:space="preserve">1.2</w:t>
      </w:r>
      <w:r>
        <w:fldChar w:fldCharType="end"/>
      </w:r>
      <w:r>
        <w:t xml:space="preserve">. Организатор по согласованию с Заказчиком вправе, при необходимости, изменить </w:t>
      </w:r>
      <w:r>
        <w:t xml:space="preserve">ее</w:t>
      </w:r>
      <w:r>
        <w:t xml:space="preserve">, официально разместив информацию об этом.</w:t>
      </w:r>
      <w:r/>
    </w:p>
    <w:p>
      <w:pPr>
        <w:pStyle w:val="1069"/>
      </w:pPr>
      <w:r>
        <w:t xml:space="preserve">В рамках рассмотрения заявок (отборочной стадии) осуществляется проверка каждой заявки </w:t>
      </w:r>
      <w:r>
        <w:t xml:space="preserve">на предмет </w:t>
      </w:r>
      <w:r>
        <w:t xml:space="preserve">соответствия </w:t>
      </w:r>
      <w:hyperlink w:tooltip="#Прил07_ОтборочныеКритерии" w:anchor="Прил07_ОтборочныеКритерии" w:history="1">
        <w:r>
          <w:rPr>
            <w:rStyle w:val="1097"/>
          </w:rPr>
          <w:t xml:space="preserve">О</w:t>
        </w:r>
        <w:r>
          <w:rPr>
            <w:rStyle w:val="1097"/>
          </w:rPr>
          <w:t xml:space="preserve">тборочным критериям</w:t>
        </w:r>
        <w:r>
          <w:rPr>
            <w:rStyle w:val="1097"/>
          </w:rPr>
          <w:t xml:space="preserve"> рассмотрения заявок (Приложение № </w:t>
        </w:r>
        <w:r>
          <w:rPr>
            <w:rStyle w:val="1097"/>
          </w:rPr>
          <w:t xml:space="preserve">7</w:t>
        </w:r>
        <w:r>
          <w:rPr>
            <w:rStyle w:val="1097"/>
          </w:rPr>
          <w:t xml:space="preserve">)</w:t>
        </w:r>
      </w:hyperlink>
      <w:r>
        <w:t xml:space="preserve">, </w:t>
      </w:r>
      <w:r>
        <w:t xml:space="preserve">в том числе </w:t>
      </w:r>
      <w:r>
        <w:t xml:space="preserve">проводится </w:t>
      </w:r>
      <w:r>
        <w:t xml:space="preserve">процедура </w:t>
      </w:r>
      <w:r>
        <w:t xml:space="preserve">аккредитаци</w:t>
      </w:r>
      <w:r>
        <w:t xml:space="preserve">и</w:t>
      </w:r>
      <w:r>
        <w:t xml:space="preserve"> Участников (при необходимости)</w:t>
      </w:r>
      <w:r>
        <w:t xml:space="preserve">.</w:t>
      </w:r>
      <w:r/>
    </w:p>
    <w:p>
      <w:pPr>
        <w:pStyle w:val="1069"/>
      </w:pPr>
      <w:r>
        <w:t xml:space="preserve">Рассмотрение заявок проводится на основании представленных в составе заявки документов и свед</w:t>
      </w:r>
      <w:r>
        <w:t xml:space="preserve">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r/>
    </w:p>
    <w:p>
      <w:pPr>
        <w:pStyle w:val="1069"/>
        <w:keepNext/>
      </w:pPr>
      <w:r/>
      <w:bookmarkStart w:id="131" w:name="_Ref224835760"/>
      <w:r>
        <w:t xml:space="preserve">При выявлении в рамках рассмотрения заявок наличия арифметических ошибок</w:t>
      </w:r>
      <w:r>
        <w:t xml:space="preserve">, </w:t>
      </w:r>
      <w:r>
        <w:t xml:space="preserve">в том числе</w:t>
      </w:r>
      <w:r>
        <w:t xml:space="preserve">:</w:t>
      </w:r>
      <w:bookmarkEnd w:id="131"/>
      <w:r/>
      <w:r/>
    </w:p>
    <w:p>
      <w:pPr>
        <w:pStyle w:val="1070"/>
      </w:pPr>
      <w:r>
        <w:t xml:space="preserve">в результате суммирования единичных расценок</w:t>
      </w:r>
      <w:r>
        <w:t xml:space="preserve">;</w:t>
      </w:r>
      <w:r/>
    </w:p>
    <w:p>
      <w:pPr>
        <w:pStyle w:val="1070"/>
      </w:pPr>
      <w:r>
        <w:t xml:space="preserve">в итогах </w:t>
      </w:r>
      <w:r>
        <w:t xml:space="preserve">умножения единичных расценок на объем продукции</w:t>
      </w:r>
      <w:r>
        <w:t xml:space="preserve">;</w:t>
      </w:r>
      <w:r/>
    </w:p>
    <w:p>
      <w:pPr>
        <w:pStyle w:val="1070"/>
      </w:pPr>
      <w:r>
        <w:t xml:space="preserve">в вычислении </w:t>
      </w:r>
      <w:r>
        <w:t xml:space="preserve">суммы НДС и итоговой </w:t>
      </w:r>
      <w:r>
        <w:t xml:space="preserve">стоимости</w:t>
      </w:r>
      <w:r>
        <w:t xml:space="preserve"> заявки с учетом НДС</w:t>
      </w:r>
      <w:r>
        <w:t xml:space="preserve">;</w:t>
      </w:r>
      <w:r/>
    </w:p>
    <w:p>
      <w:pPr>
        <w:pStyle w:val="1070"/>
      </w:pPr>
      <w:r>
        <w:t xml:space="preserve">иных внутренних противоречий в составе заявки</w:t>
      </w:r>
      <w:r>
        <w:t xml:space="preserve">,</w:t>
      </w:r>
      <w:r/>
    </w:p>
    <w:p>
      <w:pPr>
        <w:pStyle w:val="1073"/>
        <w:ind w:left="1134"/>
      </w:pPr>
      <w:r>
        <w:t xml:space="preserve">Организатор исходит из</w:t>
      </w:r>
      <w:r>
        <w:t xml:space="preserve"> </w:t>
      </w:r>
      <w:r>
        <w:t xml:space="preserve">преимущества общей итоговой </w:t>
      </w:r>
      <w:r>
        <w:t xml:space="preserve">стоимости</w:t>
      </w:r>
      <w:r>
        <w:t xml:space="preserve"> (без учета НДС), указанной в</w:t>
      </w:r>
      <w:r>
        <w:t xml:space="preserve"> </w:t>
      </w:r>
      <w:r>
        <w:t xml:space="preserve">структурированных формах на</w:t>
      </w:r>
      <w:r>
        <w:t xml:space="preserve"> </w:t>
      </w:r>
      <w:r>
        <w:t xml:space="preserve">ЭП</w:t>
      </w:r>
      <w:r>
        <w:t xml:space="preserve"> (последней по времени подачи)</w:t>
      </w:r>
      <w:r>
        <w:t xml:space="preserve"> и подписанной усиленной квалифицированной электронной подписью уполномоченного лица Участника. </w:t>
      </w:r>
      <w:r>
        <w:t xml:space="preserve">При</w:t>
      </w:r>
      <w:r>
        <w:t xml:space="preserve"> </w:t>
      </w:r>
      <w:r>
        <w:t xml:space="preserve">уклонении Участника от заключения договора на вышеуказанных условиях</w:t>
      </w:r>
      <w:r>
        <w:t xml:space="preserve"> заявка такого Участника подлежит отклонению решени</w:t>
      </w:r>
      <w:r>
        <w:t xml:space="preserve">ем</w:t>
      </w:r>
      <w:r>
        <w:t xml:space="preserve"> Закупочной комиссии.</w:t>
      </w:r>
      <w:r/>
    </w:p>
    <w:p>
      <w:pPr>
        <w:pStyle w:val="1069"/>
        <w:keepNext/>
      </w:pPr>
      <w:r/>
      <w:bookmarkStart w:id="132" w:name="_Ref125551456"/>
      <w:r>
        <w:t xml:space="preserve">По результатам рассмотрения заявок (проведения отборочной стадии) Закупочная комиссия отклоняет заявки по следующим основаниям:</w:t>
      </w:r>
      <w:bookmarkEnd w:id="132"/>
      <w:r/>
      <w:r/>
    </w:p>
    <w:p>
      <w:pPr>
        <w:pStyle w:val="1070"/>
      </w:pPr>
      <w:r>
        <w:t xml:space="preserve">несоответствие по составу, содержанию и </w:t>
      </w:r>
      <w:r>
        <w:t xml:space="preserve">соблюдению требований Документации о закупке к подготовке (оформлению) заявки</w:t>
      </w:r>
      <w:r>
        <w:t xml:space="preserve">, в том числе наличие</w:t>
      </w:r>
      <w:r>
        <w:t xml:space="preserve">:</w:t>
      </w:r>
      <w:r/>
    </w:p>
    <w:p>
      <w:pPr>
        <w:pStyle w:val="1071"/>
      </w:pPr>
      <w:r>
        <w:t xml:space="preserve">недостоверных сведений или намеренно искаженной информации или документов</w:t>
      </w:r>
      <w:r>
        <w:t xml:space="preserve">;</w:t>
      </w:r>
      <w:r/>
    </w:p>
    <w:p>
      <w:pPr>
        <w:pStyle w:val="1071"/>
      </w:pPr>
      <w:r>
        <w:t xml:space="preserve">внутренних противоречий между различными частями </w:t>
      </w:r>
      <w:r>
        <w:t xml:space="preserve">и</w:t>
      </w:r>
      <w:r>
        <w:t xml:space="preserve"> (</w:t>
      </w:r>
      <w:r>
        <w:t xml:space="preserve">или</w:t>
      </w:r>
      <w:r>
        <w:t xml:space="preserve">)</w:t>
      </w:r>
      <w:r>
        <w:t xml:space="preserve"> документами заявки, в том числе по тексту внутри одного документа</w:t>
      </w:r>
      <w:r>
        <w:t xml:space="preserve"> (за исключением ошибок, предусмотренных пунктом </w:t>
      </w:r>
      <w:r>
        <w:fldChar w:fldCharType="begin"/>
      </w:r>
      <w:r>
        <w:instrText xml:space="preserve"> REF _Ref224835760 \r \h </w:instrText>
      </w:r>
      <w:r>
        <w:fldChar w:fldCharType="separate"/>
      </w:r>
      <w:r>
        <w:t xml:space="preserve">4.9.4</w:t>
      </w:r>
      <w:r>
        <w:fldChar w:fldCharType="end"/>
      </w:r>
      <w:r>
        <w:t xml:space="preserve">)</w:t>
      </w:r>
      <w:r>
        <w:t xml:space="preserve">;</w:t>
      </w:r>
      <w:r/>
    </w:p>
    <w:p>
      <w:pPr>
        <w:pStyle w:val="1070"/>
      </w:pPr>
      <w:r>
        <w:t xml:space="preserve">несоответствие Участников требованиям Документации о закупке;</w:t>
      </w:r>
      <w:r/>
    </w:p>
    <w:p>
      <w:pPr>
        <w:pStyle w:val="1070"/>
      </w:pPr>
      <w:r>
        <w:t xml:space="preserve">несоответствие привлекаемых субподрядчиков (соисполнителей)</w:t>
      </w:r>
      <w:r>
        <w:t xml:space="preserve"> </w:t>
      </w:r>
      <w:r>
        <w:t xml:space="preserve">требованиям Документации о </w:t>
      </w:r>
      <w:r>
        <w:t xml:space="preserve">закупке;</w:t>
      </w:r>
      <w:r/>
    </w:p>
    <w:p>
      <w:pPr>
        <w:pStyle w:val="1070"/>
      </w:pPr>
      <w:r>
        <w:t xml:space="preserve">несоответствие предлагаемой продукции требованиям Документации о</w:t>
      </w:r>
      <w:r>
        <w:t xml:space="preserve"> </w:t>
      </w:r>
      <w:r>
        <w:t xml:space="preserve">закупке, в том числе порядка описания такой продукции;</w:t>
      </w:r>
      <w:r/>
    </w:p>
    <w:p>
      <w:pPr>
        <w:pStyle w:val="1070"/>
      </w:pPr>
      <w:r>
        <w:t xml:space="preserve">несоответствие предлагаемых договорных условий требованиям Документации о закупке, в том числе превышение </w:t>
      </w:r>
      <w:r>
        <w:t xml:space="preserve">стоимости</w:t>
      </w:r>
      <w:r>
        <w:t xml:space="preserve"> заявки</w:t>
      </w:r>
      <w:r>
        <w:t xml:space="preserve"> (цены Договора)</w:t>
      </w:r>
      <w:r>
        <w:t xml:space="preserve"> </w:t>
      </w:r>
      <w:r>
        <w:t xml:space="preserve">над установленным </w:t>
      </w:r>
      <w:r>
        <w:t xml:space="preserve">размер</w:t>
      </w:r>
      <w:r>
        <w:t xml:space="preserve">ом</w:t>
      </w:r>
      <w:r>
        <w:t xml:space="preserve"> НМЦ</w:t>
      </w:r>
      <w:r>
        <w:t xml:space="preserve">.</w:t>
      </w:r>
      <w:r/>
    </w:p>
    <w:p>
      <w:pPr>
        <w:pStyle w:val="1069"/>
      </w:pPr>
      <w:r>
        <w:t xml:space="preserve">Решение Закупочной комиссии по рассмотрению заявок вносится в итоговый протокол по результатам закупки.</w:t>
      </w:r>
      <w:r/>
    </w:p>
    <w:p>
      <w:pPr>
        <w:pStyle w:val="1068"/>
      </w:pPr>
      <w:r/>
      <w:bookmarkStart w:id="133" w:name="_Ref125362381"/>
      <w:r/>
      <w:bookmarkStart w:id="134" w:name="_Ref125362425"/>
      <w:r/>
      <w:bookmarkStart w:id="135" w:name="_Ref125362464"/>
      <w:r/>
      <w:bookmarkStart w:id="136" w:name="_Ref125362610"/>
      <w:r/>
      <w:bookmarkStart w:id="137" w:name="_Toc224744326"/>
      <w:r>
        <w:t xml:space="preserve">Дополнительные запросы разъяснений заявок</w:t>
      </w:r>
      <w:bookmarkEnd w:id="133"/>
      <w:r/>
      <w:bookmarkEnd w:id="134"/>
      <w:r/>
      <w:bookmarkEnd w:id="135"/>
      <w:r/>
      <w:bookmarkEnd w:id="136"/>
      <w:r/>
      <w:bookmarkEnd w:id="137"/>
      <w:r/>
      <w:r/>
    </w:p>
    <w:p>
      <w:pPr>
        <w:pStyle w:val="1069"/>
      </w:pPr>
      <w:r/>
      <w:bookmarkStart w:id="138" w:name="_Ref125365611"/>
      <w:r>
        <w:t xml:space="preserve">В рамках процедуры рассмотрения</w:t>
      </w:r>
      <w:r>
        <w:t xml:space="preserve"> заявок</w:t>
      </w:r>
      <w:r>
        <w:t xml:space="preserve">,</w:t>
      </w:r>
      <w:r>
        <w:t xml:space="preserve"> оценки и сопоставления заявок Организатор вправе направить в адрес Участника дополнительный запрос разъяснений </w:t>
      </w:r>
      <w:r>
        <w:t xml:space="preserve">и</w:t>
      </w:r>
      <w:r>
        <w:t xml:space="preserve"> (</w:t>
      </w:r>
      <w:r>
        <w:t xml:space="preserve">или</w:t>
      </w:r>
      <w:r>
        <w:t xml:space="preserve">)</w:t>
      </w:r>
      <w:r>
        <w:t xml:space="preserve"> дополнени</w:t>
      </w:r>
      <w:r>
        <w:t xml:space="preserve">й</w:t>
      </w:r>
      <w:r>
        <w:t xml:space="preserve"> его заявки, влияющи</w:t>
      </w:r>
      <w:r>
        <w:t xml:space="preserve">х</w:t>
      </w:r>
      <w:r>
        <w:t xml:space="preserve"> на отклонение или оценку и сопоставление его заявки, в следующих случаях:</w:t>
      </w:r>
      <w:bookmarkEnd w:id="138"/>
      <w:r/>
      <w:r/>
    </w:p>
    <w:p>
      <w:pPr>
        <w:pStyle w:val="1070"/>
        <w:keepNext/>
      </w:pPr>
      <w:r>
        <w:t xml:space="preserve">в составе заявки отсутствуют, представлены не</w:t>
      </w:r>
      <w:r>
        <w:t xml:space="preserve"> </w:t>
      </w:r>
      <w:r>
        <w:t xml:space="preserve">в</w:t>
      </w:r>
      <w:r>
        <w:t xml:space="preserve"> </w:t>
      </w:r>
      <w:r>
        <w:t xml:space="preserve">полном объеме или в</w:t>
      </w:r>
      <w:r>
        <w:t xml:space="preserve"> </w:t>
      </w:r>
      <w:r>
        <w:t xml:space="preserve">нечитаемом виде документы или сведения, необходимые</w:t>
      </w:r>
      <w:r>
        <w:t xml:space="preserve"> для определения</w:t>
      </w:r>
      <w:r>
        <w:t xml:space="preserve">:</w:t>
      </w:r>
      <w:r/>
    </w:p>
    <w:p>
      <w:pPr>
        <w:pStyle w:val="1071"/>
      </w:pPr>
      <w:r>
        <w:t xml:space="preserve">соответствия Участника требованиям</w:t>
      </w:r>
      <w:r>
        <w:t xml:space="preserve"> </w:t>
      </w:r>
      <w:r>
        <w:t xml:space="preserve">Документации о закупке</w:t>
      </w:r>
      <w:r>
        <w:t xml:space="preserve">;</w:t>
      </w:r>
      <w:r/>
    </w:p>
    <w:p>
      <w:pPr>
        <w:pStyle w:val="1071"/>
      </w:pPr>
      <w:r>
        <w:t xml:space="preserve">наличия соответствующих полномочий на подписани</w:t>
      </w:r>
      <w:r>
        <w:t xml:space="preserve">е</w:t>
      </w:r>
      <w:r>
        <w:t xml:space="preserve"> заявки от</w:t>
      </w:r>
      <w:r>
        <w:t xml:space="preserve"> </w:t>
      </w:r>
      <w:r>
        <w:t xml:space="preserve">имени Участника у лица, подписавшего заявку</w:t>
      </w:r>
      <w:r>
        <w:t xml:space="preserve">;</w:t>
      </w:r>
      <w:r/>
    </w:p>
    <w:p>
      <w:pPr>
        <w:pStyle w:val="1071"/>
      </w:pPr>
      <w:r>
        <w:t xml:space="preserve">соответствия заявки требованиям Документации о закупке в части характеристик предлагаемой продукции</w:t>
      </w:r>
      <w:r>
        <w:t xml:space="preserve">, </w:t>
      </w:r>
      <w:bookmarkStart w:id="139" w:name="_Hlk207817392"/>
      <w:r>
        <w:t xml:space="preserve">страны происхождения товара и</w:t>
      </w:r>
      <w:r>
        <w:t xml:space="preserve"> </w:t>
      </w:r>
      <w:r>
        <w:t xml:space="preserve">(или) страны регистрации Участника (в целях исполнения требований законодательства о национальном режиме</w:t>
      </w:r>
      <w:bookmarkEnd w:id="139"/>
      <w:r>
        <w:t xml:space="preserve"> (подраздел </w:t>
      </w:r>
      <w:r>
        <w:fldChar w:fldCharType="begin"/>
      </w:r>
      <w:r>
        <w:instrText xml:space="preserve"> REF _Ref186221375 \r \h </w:instrText>
      </w:r>
      <w:r>
        <w:fldChar w:fldCharType="separate"/>
      </w:r>
      <w:r>
        <w:t xml:space="preserve">4.12</w:t>
      </w:r>
      <w:r>
        <w:fldChar w:fldCharType="end"/>
      </w:r>
      <w:r>
        <w:t xml:space="preserve">)),</w:t>
      </w:r>
      <w:r>
        <w:t xml:space="preserve"> договорных условий</w:t>
      </w:r>
      <w:r>
        <w:t xml:space="preserve"> и</w:t>
      </w:r>
      <w:r>
        <w:t xml:space="preserve"> расчета цены </w:t>
      </w:r>
      <w:r>
        <w:t xml:space="preserve">Д</w:t>
      </w:r>
      <w:r>
        <w:t xml:space="preserve">оговора;</w:t>
      </w:r>
      <w:r/>
    </w:p>
    <w:p>
      <w:pPr>
        <w:pStyle w:val="1070"/>
      </w:pPr>
      <w:r/>
      <w:bookmarkStart w:id="140" w:name="_Ref134702259"/>
      <w:r>
        <w:t xml:space="preserve">в составе заявки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заявок процедуры аккредитации (при необходимости);</w:t>
      </w:r>
      <w:r/>
    </w:p>
    <w:p>
      <w:pPr>
        <w:pStyle w:val="1070"/>
      </w:pPr>
      <w:r>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w:t>
      </w:r>
      <w:r>
        <w:t xml:space="preserve"> (в том числе не позволяющие провести в отношении него процедуру аккредитации (при необходимости)</w:t>
      </w:r>
      <w:r>
        <w:rPr>
          <w:rStyle w:val="1081"/>
        </w:rPr>
        <w:footnoteReference w:id="3"/>
      </w:r>
      <w:r>
        <w:t xml:space="preserve">)</w:t>
      </w:r>
      <w:r>
        <w:t xml:space="preserve"> требованиям Документации о закупке или осуществить оценку и сопоставление заявок</w:t>
      </w:r>
      <w:r>
        <w:t xml:space="preserve">.</w:t>
      </w:r>
      <w:bookmarkEnd w:id="140"/>
      <w:r/>
      <w:r/>
    </w:p>
    <w:p>
      <w:pPr>
        <w:pStyle w:val="1069"/>
      </w:pPr>
      <w:r>
        <w:t xml:space="preserve">Если в рамках рассмотрения заявок проводится процедура аккредитации, Организатор вправе направить в адрес Участника дополнительный запрос разъяснений и (или) дополнени</w:t>
      </w:r>
      <w:r>
        <w:t xml:space="preserve">й</w:t>
      </w:r>
      <w:r>
        <w:t xml:space="preserve"> его заявки, влияющи</w:t>
      </w:r>
      <w:r>
        <w:t xml:space="preserve">х</w:t>
      </w:r>
      <w:r>
        <w:t xml:space="preserve"> на прохождени</w:t>
      </w:r>
      <w:r>
        <w:t xml:space="preserve">е</w:t>
      </w:r>
      <w:r>
        <w:t xml:space="preserve"> аккредитации таким Участником (в том числе в случае</w:t>
      </w:r>
      <w:r>
        <w:t xml:space="preserve">,</w:t>
      </w:r>
      <w:r>
        <w:t xml:space="preserve"> </w:t>
      </w:r>
      <w:r>
        <w:t xml:space="preserve">указанном в </w:t>
      </w:r>
      <w:r>
        <w:t xml:space="preserve">подпункт</w:t>
      </w:r>
      <w:r>
        <w:t xml:space="preserve">е</w:t>
      </w:r>
      <w:r>
        <w:t xml:space="preserve"> </w:t>
      </w:r>
      <w:r>
        <w:fldChar w:fldCharType="begin"/>
      </w:r>
      <w:r>
        <w:instrText xml:space="preserve"> REF  _Ref134702259 \d ( \h \r </w:instrText>
      </w:r>
      <w:r>
        <w:fldChar w:fldCharType="separate"/>
      </w:r>
      <w:r>
        <w:t xml:space="preserve">4.10.1(б)</w:t>
      </w:r>
      <w:r>
        <w:fldChar w:fldCharType="end"/>
      </w:r>
      <w:r>
        <w:t xml:space="preserve">).</w:t>
      </w:r>
      <w:r/>
    </w:p>
    <w:p>
      <w:pPr>
        <w:pStyle w:val="1069"/>
      </w:pPr>
      <w:r>
        <w:t xml:space="preserve">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r/>
    </w:p>
    <w:p>
      <w:pPr>
        <w:pStyle w:val="1069"/>
      </w:pPr>
      <w:r>
        <w:t xml:space="preserve">При направлении дополнительных запросов разъяснений заявок не допускается создание преимущественных условий Участнику или нескольким </w:t>
      </w:r>
      <w:r>
        <w:t xml:space="preserve">Участникам </w:t>
      </w:r>
      <w:r>
        <w:t xml:space="preserve">закупки.</w:t>
      </w:r>
      <w:r/>
    </w:p>
    <w:p>
      <w:pPr>
        <w:pStyle w:val="1069"/>
      </w:pPr>
      <w:r>
        <w:t xml:space="preserve">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w:t>
      </w:r>
      <w:r>
        <w:t xml:space="preserve">направляются Участнику если в</w:t>
      </w:r>
      <w:r>
        <w:t xml:space="preserve"> </w:t>
      </w:r>
      <w:r>
        <w:t xml:space="preserve">соответствии с</w:t>
      </w:r>
      <w:r>
        <w:t xml:space="preserve"> </w:t>
      </w:r>
      <w:r>
        <w:t xml:space="preserve">пункт</w:t>
      </w:r>
      <w:r>
        <w:t xml:space="preserve">ом</w:t>
      </w:r>
      <w:r>
        <w:t xml:space="preserve"> </w:t>
      </w:r>
      <w:r>
        <w:fldChar w:fldCharType="begin"/>
      </w:r>
      <w:r>
        <w:instrText xml:space="preserve"> REF _Ref125551456 \w \h </w:instrText>
      </w:r>
      <w:r>
        <w:instrText xml:space="preserve"> \* MERGEFORMAT </w:instrText>
      </w:r>
      <w:r>
        <w:fldChar w:fldCharType="separate"/>
      </w:r>
      <w:r>
        <w:t xml:space="preserve">4.9.5</w:t>
      </w:r>
      <w:r>
        <w:fldChar w:fldCharType="end"/>
      </w:r>
      <w:r>
        <w:t xml:space="preserve"> имеются прямые основания для</w:t>
      </w:r>
      <w:r>
        <w:t xml:space="preserve"> </w:t>
      </w:r>
      <w:r>
        <w:t xml:space="preserve">отклонения заявки такого Участника, не относящ</w:t>
      </w:r>
      <w:r>
        <w:t xml:space="preserve">иеся к случаям, перечисленным в</w:t>
      </w:r>
      <w:r>
        <w:t xml:space="preserve"> </w:t>
      </w:r>
      <w:r>
        <w:t xml:space="preserve">пункте</w:t>
      </w:r>
      <w:r>
        <w:t xml:space="preserve"> </w:t>
      </w:r>
      <w:r>
        <w:fldChar w:fldCharType="begin"/>
      </w:r>
      <w:r>
        <w:instrText xml:space="preserve"> REF _Ref125365611 \w \h </w:instrText>
      </w:r>
      <w:r>
        <w:fldChar w:fldCharType="separate"/>
      </w:r>
      <w:r>
        <w:t xml:space="preserve">4.10.1</w:t>
      </w:r>
      <w:r>
        <w:fldChar w:fldCharType="end"/>
      </w:r>
      <w:r>
        <w:t xml:space="preserve">.</w:t>
      </w:r>
      <w:r/>
    </w:p>
    <w:p>
      <w:pPr>
        <w:pStyle w:val="1069"/>
      </w:pPr>
      <w:r>
        <w:t xml:space="preserve">Срок предоставления </w:t>
      </w:r>
      <w:r>
        <w:t xml:space="preserve">Участниками </w:t>
      </w:r>
      <w:r>
        <w:t xml:space="preserve">разъяснений своих заявок устанавливается одинаковый для всех и составляет не менее 2</w:t>
      </w:r>
      <w:r>
        <w:t xml:space="preserve"> </w:t>
      </w:r>
      <w:r>
        <w:t xml:space="preserve">(двух) рабочих дней с момента направления запроса в адрес Участника.</w:t>
      </w:r>
      <w:r/>
    </w:p>
    <w:p>
      <w:pPr>
        <w:pStyle w:val="1069"/>
      </w:pPr>
      <w:r>
        <w:t xml:space="preserve">Направление Организатором </w:t>
      </w:r>
      <w:r>
        <w:t xml:space="preserve">дополнительных</w:t>
      </w:r>
      <w:r>
        <w:t xml:space="preserve"> запросов и ответов Участников на данные запросы осуществляется</w:t>
      </w:r>
      <w:r>
        <w:t xml:space="preserve"> </w:t>
      </w:r>
      <w:r>
        <w:t xml:space="preserve">с помощью программных и технических средств ЭП в порядке, предусмотренном Регламентом ЭП</w:t>
      </w:r>
      <w:r>
        <w:t xml:space="preserve"> (о</w:t>
      </w:r>
      <w:r>
        <w:t xml:space="preserve">тветы Участников, поступившие не через ЭП, к рассмотрению не принимаются</w:t>
      </w:r>
      <w:r>
        <w:t xml:space="preserve">)</w:t>
      </w:r>
      <w:r>
        <w:t xml:space="preserve">.</w:t>
      </w:r>
      <w:r/>
    </w:p>
    <w:p>
      <w:pPr>
        <w:pStyle w:val="1069"/>
      </w:pPr>
      <w:r>
        <w:t xml:space="preserve">Непредставление или представление не в полном объеме запрашиваемых документов </w:t>
      </w:r>
      <w:r>
        <w:t xml:space="preserve">и</w:t>
      </w:r>
      <w:r>
        <w:t xml:space="preserve"> (</w:t>
      </w:r>
      <w:r>
        <w:t xml:space="preserve">или</w:t>
      </w:r>
      <w:r>
        <w:t xml:space="preserve">)</w:t>
      </w:r>
      <w:r>
        <w:t xml:space="preserve"> разъяснений</w:t>
      </w:r>
      <w:r>
        <w:t xml:space="preserve"> </w:t>
      </w:r>
      <w:r>
        <w:t xml:space="preserve">в установленный в запросе срок </w:t>
      </w:r>
      <w:r>
        <w:t xml:space="preserve">служит основанием для отклонения заявки такого Участника по</w:t>
      </w:r>
      <w:r>
        <w:t xml:space="preserve"> </w:t>
      </w:r>
      <w:r>
        <w:t xml:space="preserve">условиям пункт</w:t>
      </w:r>
      <w:r>
        <w:t xml:space="preserve">а</w:t>
      </w:r>
      <w:r>
        <w:t xml:space="preserve"> </w:t>
      </w:r>
      <w:r>
        <w:fldChar w:fldCharType="begin"/>
      </w:r>
      <w:r>
        <w:instrText xml:space="preserve"> REF _Ref125551456 \w \h </w:instrText>
      </w:r>
      <w:r>
        <w:instrText xml:space="preserve"> \* MERGEFORMAT </w:instrText>
      </w:r>
      <w:r>
        <w:fldChar w:fldCharType="separate"/>
      </w:r>
      <w:r>
        <w:t xml:space="preserve">4.9.5</w:t>
      </w:r>
      <w:r>
        <w:fldChar w:fldCharType="end"/>
      </w:r>
      <w:r>
        <w:t xml:space="preserve">.</w:t>
      </w:r>
      <w:r/>
    </w:p>
    <w:p>
      <w:pPr>
        <w:pStyle w:val="1068"/>
      </w:pPr>
      <w:r/>
      <w:bookmarkStart w:id="141" w:name="_Ref125362626"/>
      <w:r/>
      <w:bookmarkStart w:id="142" w:name="_Ref125365335"/>
      <w:r/>
      <w:bookmarkStart w:id="143" w:name="_Ref125365519"/>
      <w:r/>
      <w:bookmarkStart w:id="144" w:name="_Ref125366534"/>
      <w:r/>
      <w:bookmarkStart w:id="145" w:name="_Ref125369041"/>
      <w:r/>
      <w:bookmarkStart w:id="146" w:name="_Ref125369308"/>
      <w:r/>
      <w:bookmarkStart w:id="147" w:name="_Toc224744327"/>
      <w:r>
        <w:t xml:space="preserve">Оценка и сопоставление заявок</w:t>
      </w:r>
      <w:bookmarkEnd w:id="141"/>
      <w:r/>
      <w:bookmarkEnd w:id="142"/>
      <w:r/>
      <w:bookmarkEnd w:id="143"/>
      <w:r/>
      <w:bookmarkEnd w:id="144"/>
      <w:r/>
      <w:bookmarkEnd w:id="145"/>
      <w:r/>
      <w:bookmarkEnd w:id="146"/>
      <w:r/>
      <w:bookmarkEnd w:id="147"/>
      <w:r/>
      <w:r/>
    </w:p>
    <w:p>
      <w:pPr>
        <w:pStyle w:val="1069"/>
      </w:pPr>
      <w:r>
        <w:t xml:space="preserve">Оценка</w:t>
      </w:r>
      <w:r>
        <w:t xml:space="preserve"> </w:t>
      </w:r>
      <w:r>
        <w:t xml:space="preserve">заявок, признанных Закупочной комиссией соответствующими по</w:t>
      </w:r>
      <w:r>
        <w:t xml:space="preserve"> </w:t>
      </w:r>
      <w:r>
        <w:t xml:space="preserve">результатам </w:t>
      </w:r>
      <w:r>
        <w:t xml:space="preserve">рассмотрения заявок</w:t>
      </w:r>
      <w:r>
        <w:t xml:space="preserve"> (подраздел </w:t>
      </w:r>
      <w:r>
        <w:fldChar w:fldCharType="begin"/>
      </w:r>
      <w:r>
        <w:instrText xml:space="preserve"> REF _Ref125362364 \w \h </w:instrText>
      </w:r>
      <w:r>
        <w:instrText xml:space="preserve"> \* MERGEFORMAT </w:instrText>
      </w:r>
      <w:r>
        <w:fldChar w:fldCharType="separate"/>
      </w:r>
      <w:r>
        <w:t xml:space="preserve">4.9</w:t>
      </w:r>
      <w:r>
        <w:fldChar w:fldCharType="end"/>
      </w:r>
      <w:r>
        <w:t xml:space="preserve">)</w:t>
      </w:r>
      <w:r>
        <w:t xml:space="preserve">, осуществляется</w:t>
      </w:r>
      <w:r>
        <w:t xml:space="preserve"> в</w:t>
      </w:r>
      <w:r>
        <w:t xml:space="preserve"> </w:t>
      </w:r>
      <w:r>
        <w:t xml:space="preserve">соответствии с </w:t>
      </w:r>
      <w:hyperlink w:tooltip="#Прил08_ПорядокОценки" w:anchor="Прил08_ПорядокОценки" w:history="1">
        <w:r>
          <w:rPr>
            <w:rStyle w:val="1097"/>
          </w:rPr>
          <w:t xml:space="preserve">Порядком и критериями оценки и сопоставления заявок (Приложение № 8)</w:t>
        </w:r>
      </w:hyperlink>
      <w:r>
        <w:t xml:space="preserve">, то есть:</w:t>
      </w:r>
      <w:r/>
    </w:p>
    <w:p>
      <w:pPr>
        <w:pStyle w:val="1070"/>
      </w:pPr>
      <w:r>
        <w:t xml:space="preserve">в соответствии с единственным </w:t>
      </w:r>
      <w:r>
        <w:t xml:space="preserve">ценовым </w:t>
      </w:r>
      <w:r>
        <w:t xml:space="preserve">критерием </w:t>
      </w:r>
      <w:r>
        <w:t xml:space="preserve">оценки (</w:t>
      </w:r>
      <w:r>
        <w:t xml:space="preserve">критерием </w:t>
      </w:r>
      <w:r>
        <w:t xml:space="preserve">выбора</w:t>
      </w:r>
      <w:r>
        <w:t xml:space="preserve"> Победителя</w:t>
      </w:r>
      <w:r>
        <w:t xml:space="preserve">)</w:t>
      </w:r>
      <w:r>
        <w:t xml:space="preserve"> – </w:t>
      </w:r>
      <w:r>
        <w:t xml:space="preserve">стоимость</w:t>
      </w:r>
      <w:r>
        <w:t xml:space="preserve"> </w:t>
      </w:r>
      <w:r>
        <w:t xml:space="preserve">заявки</w:t>
      </w:r>
      <w:r>
        <w:t xml:space="preserve"> (цена </w:t>
      </w:r>
      <w:r>
        <w:t xml:space="preserve">Договора</w:t>
      </w:r>
      <w:r>
        <w:t xml:space="preserve">)</w:t>
      </w:r>
      <w:r>
        <w:t xml:space="preserve">;</w:t>
      </w:r>
      <w:r/>
    </w:p>
    <w:p>
      <w:pPr>
        <w:pStyle w:val="1070"/>
      </w:pPr>
      <w:r>
        <w:t xml:space="preserve">в едином базисе без учета НДС</w:t>
      </w:r>
      <w:r>
        <w:t xml:space="preserve">.</w:t>
      </w:r>
      <w:r/>
    </w:p>
    <w:p>
      <w:pPr>
        <w:pStyle w:val="1069"/>
      </w:pPr>
      <w:r>
        <w:t xml:space="preserve">По результатам оценки заявок Закупочная комиссия в течение 1</w:t>
      </w:r>
      <w:r>
        <w:t xml:space="preserve"> </w:t>
      </w:r>
      <w:r>
        <w:t xml:space="preserve">(одного) рабочего дня осуществляет их сопоставление – ранжир</w:t>
      </w:r>
      <w:r>
        <w:t xml:space="preserve">ует все соответствующие по результатам рассмотрения</w:t>
      </w:r>
      <w:r>
        <w:t xml:space="preserve"> заявк</w:t>
      </w:r>
      <w:r>
        <w:t xml:space="preserve">и</w:t>
      </w:r>
      <w:r>
        <w:t xml:space="preserve"> по мере повышения </w:t>
      </w:r>
      <w:r>
        <w:t xml:space="preserve">их </w:t>
      </w:r>
      <w:r>
        <w:t xml:space="preserve">стоимости (цены Договора). </w:t>
      </w:r>
      <w:r>
        <w:t xml:space="preserve">При этом первое место в ранжировке присваивается заявке с наименьшей стоимостью заявки. Е</w:t>
      </w:r>
      <w:r>
        <w:t xml:space="preserve">сли нескольк</w:t>
      </w:r>
      <w:r>
        <w:t xml:space="preserve">о</w:t>
      </w:r>
      <w:r>
        <w:t xml:space="preserve"> заяв</w:t>
      </w:r>
      <w:r>
        <w:t xml:space="preserve">о</w:t>
      </w:r>
      <w:r>
        <w:t xml:space="preserve">к </w:t>
      </w:r>
      <w:r>
        <w:t xml:space="preserve">имеют</w:t>
      </w:r>
      <w:r>
        <w:t xml:space="preserve"> </w:t>
      </w:r>
      <w:r>
        <w:t xml:space="preserve">одинаковую стоимость</w:t>
      </w:r>
      <w:r>
        <w:t xml:space="preserve">, 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w:t>
      </w:r>
      <w:r>
        <w:t xml:space="preserve">на ЭП </w:t>
      </w:r>
      <w:r>
        <w:t xml:space="preserve">до окончания срока подачи заявок</w:t>
      </w:r>
      <w:r>
        <w:t xml:space="preserve">)</w:t>
      </w:r>
      <w:r>
        <w:t xml:space="preserve">.</w:t>
      </w:r>
      <w:r/>
    </w:p>
    <w:p>
      <w:pPr>
        <w:pStyle w:val="1069"/>
      </w:pPr>
      <w:r/>
      <w:bookmarkStart w:id="148" w:name="_Ref125366064"/>
      <w:r/>
      <w:bookmarkStart w:id="149" w:name="_Ref125369991"/>
      <w:r/>
      <w:bookmarkStart w:id="150" w:name="_Ref125370507"/>
      <w:r/>
      <w:bookmarkStart w:id="151" w:name="_Ref130458671"/>
      <w:r>
        <w:t xml:space="preserve">Оценка и сопоставление заявок, </w:t>
      </w:r>
      <w:r>
        <w:t xml:space="preserve">а также их ранжировка, осуществляется с</w:t>
      </w:r>
      <w:r>
        <w:t xml:space="preserve"> </w:t>
      </w:r>
      <w:r>
        <w:t xml:space="preserve">учетом применения законодательства о национальном режиме, в т.ч. ПП</w:t>
      </w:r>
      <w:r>
        <w:t xml:space="preserve"> </w:t>
      </w:r>
      <w:r>
        <w:t xml:space="preserve">1875 (подраздел</w:t>
      </w:r>
      <w:r>
        <w:t xml:space="preserve"> </w:t>
      </w:r>
      <w:r>
        <w:fldChar w:fldCharType="begin"/>
      </w:r>
      <w:r>
        <w:instrText xml:space="preserve"> REF _Ref130985951 \r \h </w:instrText>
      </w:r>
      <w:r>
        <w:fldChar w:fldCharType="separate"/>
      </w:r>
      <w:r>
        <w:t xml:space="preserve">4.12</w:t>
      </w:r>
      <w:r>
        <w:fldChar w:fldCharType="end"/>
      </w:r>
      <w:r>
        <w:t xml:space="preserve">).</w:t>
      </w:r>
      <w:r/>
    </w:p>
    <w:p>
      <w:pPr>
        <w:pStyle w:val="1069"/>
      </w:pPr>
      <w:r>
        <w:t xml:space="preserve">Результаты оценки и сопоставления заявок вносятся в итоговый протокол по</w:t>
      </w:r>
      <w:r>
        <w:t xml:space="preserve"> </w:t>
      </w:r>
      <w:r>
        <w:t xml:space="preserve">результатам закупки</w:t>
      </w:r>
      <w:r>
        <w:t xml:space="preserve">.</w:t>
      </w:r>
      <w:r/>
    </w:p>
    <w:p>
      <w:pPr>
        <w:pStyle w:val="1068"/>
      </w:pPr>
      <w:r/>
      <w:bookmarkStart w:id="152" w:name="_Ref186221375"/>
      <w:r/>
      <w:bookmarkStart w:id="153" w:name="_Ref130985951"/>
      <w:r/>
      <w:bookmarkStart w:id="154" w:name="_Ref132894106"/>
      <w:r/>
      <w:bookmarkStart w:id="155" w:name="_Ref132894111"/>
      <w:r/>
      <w:bookmarkStart w:id="156" w:name="_Toc224744328"/>
      <w:r>
        <w:t xml:space="preserve">Применение </w:t>
      </w:r>
      <w:r>
        <w:t xml:space="preserve">законодательства о национальном режиме</w:t>
      </w:r>
      <w:bookmarkEnd w:id="148"/>
      <w:r/>
      <w:bookmarkEnd w:id="149"/>
      <w:r/>
      <w:bookmarkEnd w:id="150"/>
      <w:r/>
      <w:bookmarkEnd w:id="151"/>
      <w:r/>
      <w:bookmarkEnd w:id="152"/>
      <w:r/>
      <w:bookmarkEnd w:id="153"/>
      <w:r/>
      <w:bookmarkEnd w:id="154"/>
      <w:r/>
      <w:bookmarkEnd w:id="155"/>
      <w:r/>
      <w:bookmarkEnd w:id="156"/>
      <w:r/>
      <w:r/>
    </w:p>
    <w:p>
      <w:pPr>
        <w:pStyle w:val="1069"/>
      </w:pPr>
      <w:r>
        <w:t xml:space="preserve">Настоящий подраздел применяется исходя из информации, установленной в подразделе </w:t>
      </w:r>
      <w:r>
        <w:fldChar w:fldCharType="begin"/>
      </w:r>
      <w:r>
        <w:instrText xml:space="preserve"> REF _Ref125359973 \r \h </w:instrText>
      </w:r>
      <w:r>
        <w:fldChar w:fldCharType="separate"/>
      </w:r>
      <w:r>
        <w:t xml:space="preserve">1.2</w:t>
      </w:r>
      <w:r>
        <w:fldChar w:fldCharType="end"/>
      </w:r>
      <w:r>
        <w:t xml:space="preserve">.</w:t>
      </w:r>
      <w:r/>
    </w:p>
    <w:p>
      <w:pPr>
        <w:pStyle w:val="1069"/>
      </w:pPr>
      <w:r/>
      <w:bookmarkStart w:id="157" w:name="_Ref207819815"/>
      <w:r>
        <w:t xml:space="preserve">Если в подразделе </w:t>
      </w:r>
      <w:r>
        <w:fldChar w:fldCharType="begin"/>
      </w:r>
      <w:r>
        <w:instrText xml:space="preserve"> REF _Ref125359973 \r \h </w:instrText>
      </w:r>
      <w:r>
        <w:fldChar w:fldCharType="separate"/>
      </w:r>
      <w:r>
        <w:t xml:space="preserve">1.2</w:t>
      </w:r>
      <w:r>
        <w:fldChar w:fldCharType="end"/>
      </w:r>
      <w:r>
        <w:t xml:space="preserve"> установлен режим запрета закупки иностранной продукции, то не допускается заключение </w:t>
      </w:r>
      <w:r>
        <w:t xml:space="preserve">Д</w:t>
      </w:r>
      <w:r>
        <w:t xml:space="preserve">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 </w:t>
      </w:r>
      <w:r>
        <w:fldChar w:fldCharType="begin"/>
      </w:r>
      <w:r>
        <w:instrText xml:space="preserve"> REF _Ref135749133 \r \h </w:instrText>
      </w:r>
      <w:r>
        <w:fldChar w:fldCharType="separate"/>
      </w:r>
      <w:r>
        <w:t xml:space="preserve">4.9</w:t>
      </w:r>
      <w:r>
        <w:fldChar w:fldCharType="end"/>
      </w:r>
      <w:r>
        <w:t xml:space="preserve">).</w:t>
      </w:r>
      <w:bookmarkEnd w:id="157"/>
      <w:r/>
      <w:r/>
    </w:p>
    <w:p>
      <w:pPr>
        <w:pStyle w:val="1069"/>
      </w:pPr>
      <w:r>
        <w:t xml:space="preserve">Если в подразделе </w:t>
      </w:r>
      <w:r>
        <w:fldChar w:fldCharType="begin"/>
      </w:r>
      <w:r>
        <w:instrText xml:space="preserve"> REF _Ref125359973 \r \h </w:instrText>
      </w:r>
      <w:r>
        <w:fldChar w:fldCharType="separate"/>
      </w:r>
      <w:r>
        <w:t xml:space="preserve">1.2</w:t>
      </w:r>
      <w:r>
        <w:fldChar w:fldCharType="end"/>
      </w:r>
      <w:r>
        <w:t xml:space="preserve"> установлен режим ограничения закупки иностранной продукции, то не допускается заключение </w:t>
      </w:r>
      <w:r>
        <w:t xml:space="preserve">Д</w:t>
      </w:r>
      <w:r>
        <w:t xml:space="preserve">оговора на поставку такой продукции, если была подана и по результатам </w:t>
      </w:r>
      <w:r>
        <w:t xml:space="preserve">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 </w:t>
      </w:r>
      <w:r>
        <w:fldChar w:fldCharType="begin"/>
      </w:r>
      <w:r>
        <w:instrText xml:space="preserve"> REF _Ref135749133 \r \h </w:instrText>
      </w:r>
      <w:r>
        <w:fldChar w:fldCharType="separate"/>
      </w:r>
      <w:r>
        <w:t xml:space="preserve">4.9</w:t>
      </w:r>
      <w:r>
        <w:fldChar w:fldCharType="end"/>
      </w:r>
      <w:r>
        <w:t xml:space="preserve">).</w:t>
      </w:r>
      <w:r/>
    </w:p>
    <w:p>
      <w:pPr>
        <w:pStyle w:val="1069"/>
      </w:pPr>
      <w:r>
        <w:t xml:space="preserve">Если в подразделе </w:t>
      </w:r>
      <w:r>
        <w:fldChar w:fldCharType="begin"/>
      </w:r>
      <w:r>
        <w:instrText xml:space="preserve"> REF _Ref125359973 \r \h </w:instrText>
      </w:r>
      <w:r>
        <w:fldChar w:fldCharType="separate"/>
      </w:r>
      <w:r>
        <w:t xml:space="preserve">1.2</w:t>
      </w:r>
      <w:r>
        <w:fldChar w:fldCharType="end"/>
      </w:r>
      <w:r>
        <w:t xml:space="preserve"> установлен режим преимущества российской продукции, то при оценке и сопоставлении заявок, а также их ранжировке (подраздел </w:t>
      </w:r>
      <w:r>
        <w:fldChar w:fldCharType="begin"/>
      </w:r>
      <w:r>
        <w:instrText xml:space="preserve"> REF _Ref125362626 \r \h </w:instrText>
      </w:r>
      <w:r>
        <w:fldChar w:fldCharType="separate"/>
      </w:r>
      <w:r>
        <w:t xml:space="preserve">4.11</w:t>
      </w:r>
      <w:r>
        <w:fldChar w:fldCharType="end"/>
      </w:r>
      <w:r>
        <w:t xml:space="preserve">), осуществляется снижение</w:t>
      </w:r>
      <w:r>
        <w:rPr>
          <w:rStyle w:val="1081"/>
        </w:rPr>
        <w:footnoteReference w:id="4"/>
      </w:r>
      <w:r>
        <w:t xml:space="preserve"> на 15% (пятнадцать процентов) итоговой стоимости (цены Договора) поданной и допущенной заявки с российской продукцией (на поставку товара российского происхождения </w:t>
      </w:r>
      <w:r>
        <w:t xml:space="preserve">(в том числе поставляемых при выполнении закупаемых работ, оказании закупаемых услуг)</w:t>
      </w:r>
      <w:r>
        <w:t xml:space="preserve">), </w:t>
      </w:r>
      <w:r>
        <w:t xml:space="preserve">при условии наличия допущенной заявки с иностранной продукцией (на поставку товара иностранного происхождения)</w:t>
      </w:r>
      <w:r>
        <w:t xml:space="preserve">.</w:t>
      </w:r>
      <w:r/>
    </w:p>
    <w:p>
      <w:pPr>
        <w:pStyle w:val="1069"/>
      </w:pPr>
      <w:r/>
      <w:bookmarkStart w:id="158" w:name="_Ref195007400"/>
      <w:r>
        <w:t xml:space="preserve">Если в подразделе</w:t>
      </w:r>
      <w:r>
        <w:t xml:space="preserve"> </w:t>
      </w:r>
      <w:r>
        <w:fldChar w:fldCharType="begin"/>
      </w:r>
      <w:r>
        <w:instrText xml:space="preserve"> REF _Ref125359973 \r \h </w:instrText>
      </w:r>
      <w:r>
        <w:fldChar w:fldCharType="separate"/>
      </w:r>
      <w:r>
        <w:t xml:space="preserve">1.2</w:t>
      </w:r>
      <w:r>
        <w:fldChar w:fldCharType="end"/>
      </w:r>
      <w:r>
        <w:t xml:space="preserve"> установлено, </w:t>
      </w:r>
      <w:r>
        <w:t xml:space="preserve">что Заказчик исполняет нормы в части минимальной обязательной доли закупок товаров российского происхождения, то не допускается заключение Договора на поставку товара иностранного происхождения, – соответствующая заявка отклоняется при рассмотрении заявок </w:t>
      </w:r>
      <w:r>
        <w:t xml:space="preserve">(подраздел </w:t>
      </w:r>
      <w:r>
        <w:fldChar w:fldCharType="begin"/>
      </w:r>
      <w:r>
        <w:instrText xml:space="preserve"> REF _Ref135749133 \r \h </w:instrText>
      </w:r>
      <w:r>
        <w:fldChar w:fldCharType="separate"/>
      </w:r>
      <w:r>
        <w:t xml:space="preserve">4.9</w:t>
      </w:r>
      <w:r>
        <w:fldChar w:fldCharType="end"/>
      </w:r>
      <w:r>
        <w:t xml:space="preserve">)</w:t>
      </w:r>
      <w:r>
        <w:t xml:space="preserve">.</w:t>
      </w:r>
      <w:bookmarkEnd w:id="158"/>
      <w:r/>
      <w:r/>
    </w:p>
    <w:p>
      <w:pPr>
        <w:pStyle w:val="1069"/>
      </w:pPr>
      <w:r>
        <w:t xml:space="preserve">Состав и требования </w:t>
      </w:r>
      <w:r>
        <w:t xml:space="preserve">к сведениям и</w:t>
      </w:r>
      <w:r>
        <w:t xml:space="preserve"> </w:t>
      </w:r>
      <w:r>
        <w:t xml:space="preserve">(или)</w:t>
      </w:r>
      <w:r>
        <w:t xml:space="preserve"> перечню документов </w:t>
      </w:r>
      <w:r>
        <w:t xml:space="preserve">(их предоставлению Участником)</w:t>
      </w:r>
      <w:r>
        <w:t xml:space="preserve">, которые подтверждают страну происхождения товара </w:t>
      </w:r>
      <w:bookmarkStart w:id="159" w:name="_Hlk208924242"/>
      <w:r>
        <w:t xml:space="preserve">(страны ЕАЭС, включая Россию)</w:t>
      </w:r>
      <w:bookmarkEnd w:id="159"/>
      <w:r>
        <w:t xml:space="preserve">, в целях </w:t>
      </w:r>
      <w:r>
        <w:t xml:space="preserve">выполнения требований законодательства о национальном режиме (пункты</w:t>
      </w:r>
      <w:r>
        <w:t xml:space="preserve"> </w:t>
      </w:r>
      <w:r>
        <w:fldChar w:fldCharType="begin"/>
      </w:r>
      <w:r>
        <w:instrText xml:space="preserve"> REF _Ref207819815 \r \h </w:instrText>
      </w:r>
      <w:r>
        <w:fldChar w:fldCharType="separate"/>
      </w:r>
      <w:r>
        <w:t xml:space="preserve">4.12.2</w:t>
      </w:r>
      <w:r>
        <w:fldChar w:fldCharType="end"/>
      </w:r>
      <w:r>
        <w:t xml:space="preserve"> </w:t>
      </w:r>
      <w:r>
        <w:t xml:space="preserve">–</w:t>
      </w:r>
      <w:r>
        <w:t xml:space="preserve"> </w:t>
      </w:r>
      <w:r>
        <w:fldChar w:fldCharType="begin"/>
      </w:r>
      <w:r>
        <w:instrText xml:space="preserve"> REF _Ref195007400 \r \h </w:instrText>
      </w:r>
      <w:r>
        <w:fldChar w:fldCharType="separate"/>
      </w:r>
      <w:r>
        <w:t xml:space="preserve">4.12.5</w:t>
      </w:r>
      <w:r>
        <w:fldChar w:fldCharType="end"/>
      </w:r>
      <w:r>
        <w:t xml:space="preserve">), установлены в Структуре НМЦ (в составе Коммерческого предложения (форма</w:t>
      </w:r>
      <w:r>
        <w:t xml:space="preserve"> </w:t>
      </w:r>
      <w:r>
        <w:t xml:space="preserve">3) (</w:t>
      </w:r>
      <w:hyperlink w:tooltip="#Прил04_ФормыЗаявки" w:anchor="Прил04_ФормыЗаявки" w:history="1">
        <w:r>
          <w:rPr>
            <w:rStyle w:val="1097"/>
          </w:rPr>
          <w:t xml:space="preserve">Приложение № 4</w:t>
        </w:r>
      </w:hyperlink>
      <w:r>
        <w:t xml:space="preserve">)</w:t>
      </w:r>
      <w:r>
        <w:t xml:space="preserve">, а также в Технических требованиях (</w:t>
      </w:r>
      <w:hyperlink w:tooltip="#Прил01_ТехТребования" w:anchor="Прил01_ТехТребования" w:history="1">
        <w:r>
          <w:rPr>
            <w:rStyle w:val="1097"/>
          </w:rPr>
          <w:t xml:space="preserve">Приложение № 1</w:t>
        </w:r>
      </w:hyperlink>
      <w:r>
        <w:t xml:space="preserve">) при исполнении Заказчиком норм в части минимальной обязательной доли закупок товаров российского происхождения.</w:t>
      </w:r>
      <w:r/>
    </w:p>
    <w:p>
      <w:pPr>
        <w:pStyle w:val="1069"/>
        <w:keepNext/>
      </w:pPr>
      <w:r>
        <w:t xml:space="preserve">Товар </w:t>
      </w:r>
      <w:r>
        <w:t xml:space="preserve">приравнивается к товарам, </w:t>
      </w:r>
      <w:r>
        <w:t xml:space="preserve">происходящим из иностранного государства (не являющегося государством – членом ЕАЭС), если:</w:t>
      </w:r>
      <w:r/>
    </w:p>
    <w:p>
      <w:pPr>
        <w:pStyle w:val="1070"/>
      </w:pPr>
      <w:r>
        <w:t xml:space="preserve">в отношении такого товара Участником не предоставлены в составе заявки требуемые Документацией о закупке подтверждающие сведения и (или) документы;</w:t>
      </w:r>
      <w:r/>
    </w:p>
    <w:p>
      <w:pPr>
        <w:pStyle w:val="1070"/>
      </w:pPr>
      <w:r>
        <w:t xml:space="preserve">в соответствии с реестровой записью из реестра российской промышленной продукции количество указанных баллов за выполнение (ос</w:t>
      </w:r>
      <w:r>
        <w:t xml:space="preserve">воение) на территории Российской Федерации соответствующих операций (условий) составляет меньшее значение по отношению к количеству баллов, определенных ПП 719 (в случае, если для такого товара ПП 719 установлены требования о совокупном количестве баллов).</w:t>
      </w:r>
      <w:r/>
    </w:p>
    <w:p>
      <w:pPr>
        <w:pStyle w:val="1069"/>
      </w:pPr>
      <w:r>
        <w:t xml:space="preserve">Если в подразделе</w:t>
      </w:r>
      <w:r>
        <w:t xml:space="preserve"> </w:t>
      </w:r>
      <w:r>
        <w:fldChar w:fldCharType="begin"/>
      </w:r>
      <w:r>
        <w:instrText xml:space="preserve"> REF _Ref125359973 \r \h </w:instrText>
      </w:r>
      <w:r>
        <w:fldChar w:fldCharType="separate"/>
      </w:r>
      <w:r>
        <w:t xml:space="preserve">1.2</w:t>
      </w:r>
      <w:r>
        <w:fldChar w:fldCharType="end"/>
      </w:r>
      <w:r>
        <w:t xml:space="preserve"> установлен режим запрета закупки иностранной продукции (в отношении позиции №</w:t>
      </w:r>
      <w:r>
        <w:t xml:space="preserve"> </w:t>
      </w:r>
      <w:r>
        <w:t xml:space="preserve">146 </w:t>
      </w:r>
      <w:r>
        <w:t xml:space="preserve">п</w:t>
      </w:r>
      <w:r>
        <w:t xml:space="preserve">риложения №</w:t>
      </w:r>
      <w:r>
        <w:t xml:space="preserve"> </w:t>
      </w:r>
      <w:r>
        <w:t xml:space="preserve">1 к ПП</w:t>
      </w:r>
      <w:r>
        <w:t xml:space="preserve"> </w:t>
      </w:r>
      <w:r>
        <w:t xml:space="preserve">1875), то</w:t>
      </w:r>
      <w:r>
        <w:t xml:space="preserve"> </w:t>
      </w:r>
      <w:r>
        <w:t xml:space="preserve">заявка, содержащая предложение о поставке российского программного обеспечения, реестровая запис</w:t>
      </w:r>
      <w:r>
        <w:t xml:space="preserve">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в соответствии с</w:t>
      </w:r>
      <w:r>
        <w:t xml:space="preserve"> </w:t>
      </w:r>
      <w:r>
        <w:t xml:space="preserve">ПП</w:t>
      </w:r>
      <w:r>
        <w:t xml:space="preserve"> </w:t>
      </w:r>
      <w:r>
        <w:t xml:space="preserve">325, приравнивается к заявке, содержащей предложение о поставке программного обеспечения, происходящего из иностранного государства (не</w:t>
      </w:r>
      <w:r>
        <w:t xml:space="preserve"> </w:t>
      </w:r>
      <w:r>
        <w:t xml:space="preserve">являющегося государством – членом ЕАЭС), если на участие в закупке подана заявка (соответствующая установленным Документацией о закупке требованиям), содержащая предложение о поставке программного обеспечения, реестровая за</w:t>
      </w:r>
      <w:r>
        <w:t xml:space="preserve">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 в соответствии с</w:t>
      </w:r>
      <w:r>
        <w:t xml:space="preserve"> </w:t>
      </w:r>
      <w:r>
        <w:t xml:space="preserve">ПП</w:t>
      </w:r>
      <w:r>
        <w:t xml:space="preserve"> </w:t>
      </w:r>
      <w:r>
        <w:t xml:space="preserve">325.</w:t>
      </w:r>
      <w:r/>
    </w:p>
    <w:p>
      <w:pPr>
        <w:pStyle w:val="1069"/>
      </w:pPr>
      <w:r>
        <w:t xml:space="preserve">Если в подразделе</w:t>
      </w:r>
      <w:r>
        <w:t xml:space="preserve"> </w:t>
      </w:r>
      <w:r>
        <w:fldChar w:fldCharType="begin"/>
      </w:r>
      <w:r>
        <w:instrText xml:space="preserve"> REF _Ref125359973 \r \h </w:instrText>
      </w:r>
      <w:r>
        <w:fldChar w:fldCharType="separate"/>
      </w:r>
      <w:r>
        <w:t xml:space="preserve">1.2</w:t>
      </w:r>
      <w:r>
        <w:fldChar w:fldCharType="end"/>
      </w:r>
      <w:r>
        <w:t xml:space="preserve"> установлен режим ограничения закупки иностранной продукции (в отношении позиций №№</w:t>
      </w:r>
      <w:r>
        <w:t xml:space="preserve"> </w:t>
      </w:r>
      <w:r>
        <w:t xml:space="preserve">195, 197</w:t>
      </w:r>
      <w:r>
        <w:t xml:space="preserve"> </w:t>
      </w:r>
      <w:r>
        <w:t xml:space="preserve">–</w:t>
      </w:r>
      <w:r>
        <w:t xml:space="preserve"> </w:t>
      </w:r>
      <w:r>
        <w:t xml:space="preserve">199, 203 </w:t>
      </w:r>
      <w:r>
        <w:t xml:space="preserve">п</w:t>
      </w:r>
      <w:r>
        <w:t xml:space="preserve">риложения №</w:t>
      </w:r>
      <w:r>
        <w:t xml:space="preserve"> </w:t>
      </w:r>
      <w:r>
        <w:t xml:space="preserve">2 к</w:t>
      </w:r>
      <w:r>
        <w:t xml:space="preserve"> </w:t>
      </w:r>
      <w:r>
        <w:t xml:space="preserve">ПП 1875), то заявка, содержащая предложение о поставке российской радиоэлектронной продукции, но не являющейся в соответствии с ПП</w:t>
      </w:r>
      <w:r>
        <w:t xml:space="preserve"> </w:t>
      </w:r>
      <w:r>
        <w:t xml:space="preserve">719 радиоэлектронной продукцией первого уровня, приравнивается к заявке, содержащей предложение о поставке радиоэлектронной продукции из</w:t>
      </w:r>
      <w:r>
        <w:t xml:space="preserve"> </w:t>
      </w:r>
      <w:r>
        <w:t xml:space="preserve">иностранного государств</w:t>
      </w:r>
      <w:r>
        <w:t xml:space="preserve">а (не являющегося государством – членом ЕАЭС), если на участие в закупке подана заявка (соответствующая установленным Документацией о закупке требованиям), содержащая предложение о поставке радиоэлектронной продукции российского происхождения, являющейся в</w:t>
      </w:r>
      <w:r>
        <w:t xml:space="preserve"> </w:t>
      </w:r>
      <w:r>
        <w:t xml:space="preserve">соответствии с ПП</w:t>
      </w:r>
      <w:r>
        <w:t xml:space="preserve"> </w:t>
      </w:r>
      <w:r>
        <w:t xml:space="preserve">719 радиоэлектронной продукцией первого уровня.</w:t>
      </w:r>
      <w:r/>
    </w:p>
    <w:p>
      <w:pPr>
        <w:pStyle w:val="1069"/>
      </w:pPr>
      <w:r>
        <w:t xml:space="preserve">Если Договор был заключен по результатам закупки, в которой был установлен режим запрета закупки иностранных товаров, выполнения работ и</w:t>
      </w:r>
      <w:r>
        <w:t xml:space="preserve"> </w:t>
      </w:r>
      <w:r>
        <w:t xml:space="preserve">(или) оказания услуг иностранным лицом, то не допускается при исполнении такого Договора: замена закупаемого това</w:t>
      </w:r>
      <w:r>
        <w:t xml:space="preserve">ра на товар, происходящий из иностранного государства, в отношении которого в закупке был установлен запрет; перемена подрядчика (исполнителя) (в случае, если эта перемена допускается гражданским законодательством), с которым заключен указанный Договор, на</w:t>
      </w:r>
      <w:r>
        <w:t xml:space="preserve"> </w:t>
      </w:r>
      <w:r>
        <w:t xml:space="preserve">иностранное лицо, которое зарегистрировано на территории иностранного государства, в отношении которого установлен данный запрет.</w:t>
      </w:r>
      <w:r/>
    </w:p>
    <w:p>
      <w:pPr>
        <w:pStyle w:val="1069"/>
      </w:pPr>
      <w:r>
        <w:t xml:space="preserve">Если Договор был заключен по результатам закупки, в которой был установлен режим ограничения закупки иностранных товаров, то не допускается при</w:t>
      </w:r>
      <w:r>
        <w:t xml:space="preserve"> </w:t>
      </w:r>
      <w:r>
        <w:t xml:space="preserve">исполнении такого Договора замена закупаемого товара на товар, происходящий из иностранного государства, в отношении которого в закупке было установлено ограничение, если Договор предусматривает поставку товара российского происхождения.</w:t>
      </w:r>
      <w:r/>
    </w:p>
    <w:p>
      <w:pPr>
        <w:pStyle w:val="1069"/>
      </w:pPr>
      <w:r>
        <w:t xml:space="preserve">Если Договор был заключен по результатам закупки, в которой был установлен режим преимущество в отношении товара российского происхождения, то</w:t>
      </w:r>
      <w:r>
        <w:t xml:space="preserve"> </w:t>
      </w:r>
      <w:r>
        <w:t xml:space="preserve">не</w:t>
      </w:r>
      <w:r>
        <w:t xml:space="preserve"> </w:t>
      </w:r>
      <w:r>
        <w:t xml:space="preserve">допускается при исполнении такого Договора замена закупаемого товара на товар, происходящий из иностранного государства, в отношении которого в</w:t>
      </w:r>
      <w:r>
        <w:t xml:space="preserve"> </w:t>
      </w:r>
      <w:r>
        <w:t xml:space="preserve">закупке было установлено преимущество, если Договор предусматривает поставку товара российского происхождения</w:t>
      </w:r>
      <w:r>
        <w:t xml:space="preserve">.</w:t>
      </w:r>
      <w:r/>
    </w:p>
    <w:p>
      <w:pPr>
        <w:pStyle w:val="1068"/>
      </w:pPr>
      <w:r/>
      <w:bookmarkStart w:id="166" w:name="_Ref125362658"/>
      <w:r/>
      <w:bookmarkStart w:id="167" w:name="_Ref125366091"/>
      <w:r/>
      <w:bookmarkStart w:id="168" w:name="_Ref125367242"/>
      <w:r/>
      <w:bookmarkStart w:id="169" w:name="_Toc224744330"/>
      <w:r>
        <w:t xml:space="preserve">П</w:t>
      </w:r>
      <w:r>
        <w:t xml:space="preserve">одведение итогов закупки</w:t>
      </w:r>
      <w:r>
        <w:t xml:space="preserve"> (</w:t>
      </w:r>
      <w:r>
        <w:t xml:space="preserve">о</w:t>
      </w:r>
      <w:r>
        <w:t xml:space="preserve">пределение Победителя</w:t>
      </w:r>
      <w:r>
        <w:t xml:space="preserve">)</w:t>
      </w:r>
      <w:bookmarkEnd w:id="166"/>
      <w:r/>
      <w:bookmarkEnd w:id="167"/>
      <w:r/>
      <w:bookmarkEnd w:id="168"/>
      <w:r/>
      <w:bookmarkEnd w:id="169"/>
      <w:r/>
      <w:r/>
    </w:p>
    <w:p>
      <w:pPr>
        <w:pStyle w:val="1069"/>
      </w:pPr>
      <w:r>
        <w:t xml:space="preserve">Дата окончания срока подведения итогов закупки указана в </w:t>
      </w:r>
      <w:r>
        <w:t xml:space="preserve">подразделе </w:t>
      </w:r>
      <w:r>
        <w:fldChar w:fldCharType="begin"/>
      </w:r>
      <w:r>
        <w:instrText xml:space="preserve"> REF _Ref125359973 \r \h </w:instrText>
      </w:r>
      <w:r>
        <w:fldChar w:fldCharType="separate"/>
      </w:r>
      <w:r>
        <w:t xml:space="preserve">1.2</w:t>
      </w:r>
      <w:r>
        <w:fldChar w:fldCharType="end"/>
      </w:r>
      <w:r>
        <w:t xml:space="preserve">. Организатор по</w:t>
      </w:r>
      <w:r>
        <w:t xml:space="preserve"> </w:t>
      </w:r>
      <w:r>
        <w:t xml:space="preserve">согласованию с Заказчиком вправе, при необходимости, изменить данный срок, официально разместив информацию об этом.</w:t>
      </w:r>
      <w:r/>
    </w:p>
    <w:p>
      <w:pPr>
        <w:pStyle w:val="1069"/>
      </w:pPr>
      <w:r>
        <w:t xml:space="preserve">На основании полученных результатов оценки и сопоставления заявок Организатор подводит итоги закупки. </w:t>
      </w:r>
      <w:r>
        <w:t xml:space="preserve">Победителем закупки признается Участник, заявка</w:t>
      </w:r>
      <w:r>
        <w:t xml:space="preserve"> которого</w:t>
      </w:r>
      <w:r>
        <w:t xml:space="preserve"> заня</w:t>
      </w:r>
      <w:r>
        <w:t xml:space="preserve">ла</w:t>
      </w:r>
      <w:r>
        <w:t xml:space="preserve"> 1</w:t>
      </w:r>
      <w:r>
        <w:t xml:space="preserve"> </w:t>
      </w:r>
      <w:r>
        <w:t xml:space="preserve">(первое) место в ранжировке заявок</w:t>
      </w:r>
      <w:r>
        <w:t xml:space="preserve"> </w:t>
      </w:r>
      <w:r>
        <w:t xml:space="preserve">по </w:t>
      </w:r>
      <w:r>
        <w:t xml:space="preserve">итогам рассмотрения, оценки и сопоставления заявок</w:t>
      </w:r>
      <w:r>
        <w:t xml:space="preserve">.</w:t>
      </w:r>
      <w:r/>
    </w:p>
    <w:p>
      <w:pPr>
        <w:pStyle w:val="1069"/>
      </w:pPr>
      <w:r>
        <w:t xml:space="preserve">Е</w:t>
      </w:r>
      <w:r>
        <w:t xml:space="preserve">сли к моменту подведения итогов закупки с выбором в качестве Победителя ранее аккредитованного Участника прошло более 6</w:t>
      </w:r>
      <w:r>
        <w:t xml:space="preserve"> </w:t>
      </w:r>
      <w:r>
        <w:t xml:space="preserve">(шести) календарных месяцев с даты присвоения ему статуса «аккредитован»</w:t>
      </w:r>
      <w:r>
        <w:t xml:space="preserve"> / «аккредитация не требуется»</w:t>
      </w:r>
      <w:r>
        <w:t xml:space="preserve">, перед окончательным определением Победителя проводится процедура </w:t>
      </w:r>
      <w:r>
        <w:t xml:space="preserve">а</w:t>
      </w:r>
      <w:r>
        <w:t xml:space="preserve">ктуализации статуса </w:t>
      </w:r>
      <w:r>
        <w:t xml:space="preserve">аккредитации </w:t>
      </w:r>
      <w:r>
        <w:t xml:space="preserve">данного Участника. Если по</w:t>
      </w:r>
      <w:r>
        <w:t xml:space="preserve"> </w:t>
      </w:r>
      <w:r>
        <w:t xml:space="preserve">результатам такой проверки Участник</w:t>
      </w:r>
      <w:r>
        <w:t xml:space="preserve">у</w:t>
      </w:r>
      <w:r>
        <w:t xml:space="preserve"> </w:t>
      </w:r>
      <w:r>
        <w:t xml:space="preserve">присвоен</w:t>
      </w:r>
      <w:r>
        <w:t xml:space="preserve"> </w:t>
      </w:r>
      <w:r>
        <w:t xml:space="preserve">статус «</w:t>
      </w:r>
      <w:r>
        <w:t xml:space="preserve">не </w:t>
      </w:r>
      <w:r>
        <w:t xml:space="preserve">аккредитован», его заявка отклоняется, а</w:t>
      </w:r>
      <w:r>
        <w:t xml:space="preserve"> </w:t>
      </w:r>
      <w:r>
        <w:t xml:space="preserve">Закупочная комиссия </w:t>
      </w:r>
      <w:r>
        <w:t xml:space="preserve">имеет право выбрать</w:t>
      </w:r>
      <w:r>
        <w:t xml:space="preserve"> в качестве Победителя иного Участника, занявшего следующее после него место в</w:t>
      </w:r>
      <w:r>
        <w:t xml:space="preserve"> </w:t>
      </w:r>
      <w:r>
        <w:t xml:space="preserve">ранжировке заявок, из</w:t>
      </w:r>
      <w:r>
        <w:t xml:space="preserve"> </w:t>
      </w:r>
      <w:r>
        <w:t xml:space="preserve">числа остальных действующих заявок (при</w:t>
      </w:r>
      <w:r>
        <w:t xml:space="preserve"> </w:t>
      </w:r>
      <w:r>
        <w:t xml:space="preserve">наличии у</w:t>
      </w:r>
      <w:r>
        <w:t xml:space="preserve"> </w:t>
      </w:r>
      <w:r>
        <w:t xml:space="preserve">него актуального статуса аккредитации).</w:t>
      </w:r>
      <w:r/>
    </w:p>
    <w:p>
      <w:pPr>
        <w:pStyle w:val="1069"/>
        <w:keepNext/>
      </w:pPr>
      <w:r/>
      <w:bookmarkStart w:id="170" w:name="_Ref125365974"/>
      <w:r>
        <w:t xml:space="preserve">Решение Закупочной комиссии по</w:t>
      </w:r>
      <w:r>
        <w:t xml:space="preserve"> определению Победителя оформляется итоговым протоколом по результатам закупки, в котором, как минимум, указываются</w:t>
      </w:r>
      <w:r>
        <w:rPr>
          <w:rStyle w:val="1081"/>
        </w:rPr>
        <w:footnoteReference w:id="5"/>
      </w:r>
      <w:r>
        <w:t xml:space="preserve">:</w:t>
      </w:r>
      <w:bookmarkEnd w:id="170"/>
      <w:r/>
      <w:r/>
    </w:p>
    <w:p>
      <w:pPr>
        <w:pStyle w:val="1070"/>
      </w:pPr>
      <w:r>
        <w:t xml:space="preserve">дата подписания протокола;</w:t>
      </w:r>
      <w:r/>
    </w:p>
    <w:p>
      <w:pPr>
        <w:pStyle w:val="1070"/>
      </w:pPr>
      <w:r>
        <w:t xml:space="preserve">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r/>
    </w:p>
    <w:p>
      <w:pPr>
        <w:pStyle w:val="1070"/>
      </w:pPr>
      <w:r>
        <w:t xml:space="preserve">наименования Участников,</w:t>
      </w:r>
      <w:r>
        <w:t xml:space="preserve"> заявки которых были</w:t>
      </w:r>
      <w:r>
        <w:t xml:space="preserve"> </w:t>
      </w:r>
      <w:r>
        <w:t xml:space="preserve">допущен</w:t>
      </w:r>
      <w:r>
        <w:t xml:space="preserve">ы</w:t>
      </w:r>
      <w:r>
        <w:t xml:space="preserve"> по</w:t>
      </w:r>
      <w:r>
        <w:t xml:space="preserve"> </w:t>
      </w:r>
      <w:r>
        <w:t xml:space="preserve">результатам </w:t>
      </w:r>
      <w:r>
        <w:t xml:space="preserve">рассмотрения заявок, </w:t>
      </w:r>
      <w:r>
        <w:t xml:space="preserve">и</w:t>
      </w:r>
      <w:r>
        <w:t xml:space="preserve"> (</w:t>
      </w:r>
      <w:r>
        <w:t xml:space="preserve">или</w:t>
      </w:r>
      <w:r>
        <w:t xml:space="preserve">)</w:t>
      </w:r>
      <w:r>
        <w:t xml:space="preserve"> их идентификационные номера, присваиваемые </w:t>
      </w:r>
      <w:r>
        <w:t xml:space="preserve">О</w:t>
      </w:r>
      <w:r>
        <w:t xml:space="preserve">ператором </w:t>
      </w:r>
      <w:r>
        <w:t xml:space="preserve">ЭП;</w:t>
      </w:r>
      <w:r/>
    </w:p>
    <w:p>
      <w:pPr>
        <w:pStyle w:val="1070"/>
      </w:pPr>
      <w:r>
        <w:t xml:space="preserve">результаты рассмотрения заявок с указанием, в том числе:</w:t>
      </w:r>
      <w:r/>
    </w:p>
    <w:p>
      <w:pPr>
        <w:pStyle w:val="1071"/>
      </w:pPr>
      <w:r>
        <w:t xml:space="preserve">количества заявок, которые были отклонены;</w:t>
      </w:r>
      <w:r/>
    </w:p>
    <w:p>
      <w:pPr>
        <w:pStyle w:val="1071"/>
      </w:pPr>
      <w:r>
        <w:t xml:space="preserve">оснований отклонения каждой заявки с указанием положений Документации о закупке, которым не соответствует такая заявка;</w:t>
      </w:r>
      <w:r/>
    </w:p>
    <w:p>
      <w:pPr>
        <w:pStyle w:val="1070"/>
        <w:keepNext/>
      </w:pPr>
      <w:r>
        <w:t xml:space="preserve">результаты </w:t>
      </w:r>
      <w:r>
        <w:t xml:space="preserve">дополнительного </w:t>
      </w:r>
      <w:r>
        <w:t xml:space="preserve">рассмотрения заявок</w:t>
      </w:r>
      <w:r>
        <w:t xml:space="preserve"> (</w:t>
      </w:r>
      <w:r>
        <w:t xml:space="preserve">при возникновении оснований для отклонения заявок по результатам проведения актуализации статуса аккредитации, если такая процедура проводились</w:t>
      </w:r>
      <w:r>
        <w:t xml:space="preserve">)</w:t>
      </w:r>
      <w:r>
        <w:t xml:space="preserve"> с</w:t>
      </w:r>
      <w:r>
        <w:t xml:space="preserve"> </w:t>
      </w:r>
      <w:r>
        <w:t xml:space="preserve">указанием, в том числе:</w:t>
      </w:r>
      <w:r/>
    </w:p>
    <w:p>
      <w:pPr>
        <w:pStyle w:val="1071"/>
      </w:pPr>
      <w:r>
        <w:t xml:space="preserve">количества заявок, которые были отклонены;</w:t>
      </w:r>
      <w:r/>
    </w:p>
    <w:p>
      <w:pPr>
        <w:pStyle w:val="1071"/>
      </w:pPr>
      <w:r>
        <w:t xml:space="preserve">оснований отклонения каждой заявки с указанием положений Документации о закупке, которым не соответствует такая заявка</w:t>
      </w:r>
      <w:r>
        <w:t xml:space="preserve">;</w:t>
      </w:r>
      <w:r/>
    </w:p>
    <w:p>
      <w:pPr>
        <w:pStyle w:val="1070"/>
      </w:pPr>
      <w:r>
        <w:t xml:space="preserve">результаты оценки и сопоставления заявок</w:t>
      </w:r>
      <w:r>
        <w:t xml:space="preserve"> (ранжировка заявок)</w:t>
      </w:r>
      <w:r>
        <w:t xml:space="preserve">;</w:t>
      </w:r>
      <w:r/>
    </w:p>
    <w:p>
      <w:pPr>
        <w:pStyle w:val="1070"/>
      </w:pPr>
      <w:r>
        <w:t xml:space="preserve">порядковые номера каждой заявки (с указанием стоимостей заявок (цен Договоров), допущенной по результатам рассмотрения заявок, в том числе с учетом результатов актуализации статуса аккредитации (если указанная процедура проводилась), в ранжировке заявок</w:t>
      </w:r>
      <w:r>
        <w:t xml:space="preserve">;</w:t>
      </w:r>
      <w:r/>
    </w:p>
    <w:p>
      <w:pPr>
        <w:pStyle w:val="1070"/>
      </w:pPr>
      <w:r>
        <w:t xml:space="preserve">наименование Победителя закупки </w:t>
      </w:r>
      <w:r>
        <w:t xml:space="preserve">или</w:t>
      </w:r>
      <w:r>
        <w:t xml:space="preserve"> </w:t>
      </w:r>
      <w:r>
        <w:t xml:space="preserve">Единственного </w:t>
      </w:r>
      <w:r>
        <w:t xml:space="preserve">участника </w:t>
      </w:r>
      <w:r>
        <w:t xml:space="preserve">несостоявшейся закупки, с которым планируется заключить Договор;</w:t>
      </w:r>
      <w:r/>
    </w:p>
    <w:p>
      <w:pPr>
        <w:pStyle w:val="1070"/>
      </w:pPr>
      <w:r>
        <w:t xml:space="preserve">причины, по которым закупка признана несостоявшейся (в случае ее признания таковой),</w:t>
      </w:r>
      <w:r/>
    </w:p>
    <w:p>
      <w:pPr>
        <w:pStyle w:val="1073"/>
        <w:ind w:left="1134"/>
      </w:pPr>
      <w:r>
        <w:t xml:space="preserve">после чего Организатор официально размещает его в течение 3</w:t>
      </w:r>
      <w:r>
        <w:t xml:space="preserve"> </w:t>
      </w:r>
      <w:r>
        <w:t xml:space="preserve">(трех) календарных дней с даты подписания такого протокола.</w:t>
      </w:r>
      <w:r/>
    </w:p>
    <w:p>
      <w:pPr>
        <w:pStyle w:val="1069"/>
      </w:pPr>
      <w:r>
        <w:t xml:space="preserve">Победитель дополнительно уведомляется о результатах проводимой закупки с</w:t>
      </w:r>
      <w:r>
        <w:t xml:space="preserve"> </w:t>
      </w:r>
      <w:r>
        <w:t xml:space="preserve">использованием ЭП – уведомление направляется </w:t>
      </w:r>
      <w:r>
        <w:t xml:space="preserve">О</w:t>
      </w:r>
      <w:r>
        <w:t xml:space="preserve">ператором ЭП согласно Регламенту ЭП</w:t>
      </w:r>
      <w:r>
        <w:t xml:space="preserve">.</w:t>
      </w:r>
      <w:r/>
    </w:p>
    <w:p>
      <w:pPr>
        <w:pStyle w:val="1069"/>
      </w:pPr>
      <w:r>
        <w:t xml:space="preserve">Если между официальным размещением итогового протокола по результатам закупки и подписанием Договора изменится Победитель (</w:t>
      </w:r>
      <w:r>
        <w:t xml:space="preserve">например, вследствие уклонения Победителя или потери им статуса</w:t>
      </w:r>
      <w:r>
        <w:t xml:space="preserve">), информация о новом Победителе официально размещается Организатором в том же порядке</w:t>
      </w:r>
      <w:r>
        <w:t xml:space="preserve">.</w:t>
      </w:r>
      <w:r/>
    </w:p>
    <w:p>
      <w:pPr>
        <w:pStyle w:val="1069"/>
      </w:pPr>
      <w:r>
        <w:t xml:space="preserve">Любой Участник после официального размещения итогового протокола по</w:t>
      </w:r>
      <w:r>
        <w:t xml:space="preserve"> </w:t>
      </w:r>
      <w:r>
        <w:t xml:space="preserve">результатам закупки вправе направить Организатору запрос о разъяснении результатов рассмотрения и</w:t>
      </w:r>
      <w:r>
        <w:t xml:space="preserve"> </w:t>
      </w:r>
      <w:r>
        <w:t xml:space="preserve">(или) оценки и сопоставления своей заявки в</w:t>
      </w:r>
      <w:r>
        <w:t xml:space="preserve"> </w:t>
      </w:r>
      <w:r>
        <w:t xml:space="preserve">порядке, аналогичном порядку направления запросов на разъяснение Документации о закупке (подраздел</w:t>
      </w:r>
      <w:r>
        <w:t xml:space="preserve"> </w:t>
      </w:r>
      <w:r>
        <w:fldChar w:fldCharType="begin"/>
      </w:r>
      <w:r>
        <w:instrText xml:space="preserve"> REF _Ref130394205 \w \h </w:instrText>
      </w:r>
      <w:r>
        <w:fldChar w:fldCharType="separate"/>
      </w:r>
      <w:r>
        <w:t xml:space="preserve">4.4</w:t>
      </w:r>
      <w:r>
        <w:fldChar w:fldCharType="end"/>
      </w:r>
      <w:r>
        <w:t xml:space="preserve">). Организатор в течение 10</w:t>
      </w:r>
      <w:r>
        <w:t xml:space="preserve"> </w:t>
      </w:r>
      <w:r>
        <w:t xml:space="preserve">(десяти)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r/>
    </w:p>
    <w:p>
      <w:pPr>
        <w:pStyle w:val="1068"/>
      </w:pPr>
      <w:r/>
      <w:bookmarkStart w:id="171" w:name="_Ref125364149"/>
      <w:r/>
      <w:bookmarkStart w:id="172" w:name="_Ref125364187"/>
      <w:r/>
      <w:bookmarkStart w:id="173" w:name="_Ref125365305"/>
      <w:r/>
      <w:bookmarkStart w:id="174" w:name="_Ref125365570"/>
      <w:r/>
      <w:bookmarkStart w:id="175" w:name="_Ref125366631"/>
      <w:r/>
      <w:bookmarkStart w:id="176" w:name="_Ref125366796"/>
      <w:r/>
      <w:bookmarkStart w:id="177" w:name="_Toc224744331"/>
      <w:r>
        <w:t xml:space="preserve">Признание закупки несостоявшейся</w:t>
      </w:r>
      <w:bookmarkEnd w:id="171"/>
      <w:r/>
      <w:bookmarkEnd w:id="172"/>
      <w:r/>
      <w:bookmarkEnd w:id="173"/>
      <w:r/>
      <w:bookmarkEnd w:id="174"/>
      <w:r/>
      <w:bookmarkEnd w:id="175"/>
      <w:r/>
      <w:bookmarkEnd w:id="176"/>
      <w:r/>
      <w:bookmarkEnd w:id="177"/>
      <w:r/>
      <w:r/>
    </w:p>
    <w:p>
      <w:pPr>
        <w:pStyle w:val="1069"/>
        <w:keepNext/>
      </w:pPr>
      <w:r>
        <w:t xml:space="preserve">Закупка признается несостоявшейся в следующих случаях:</w:t>
      </w:r>
      <w:r/>
    </w:p>
    <w:p>
      <w:pPr>
        <w:pStyle w:val="1070"/>
      </w:pPr>
      <w:r>
        <w:t xml:space="preserve">если по окончанию срока подачи заявок поступило менее 2</w:t>
      </w:r>
      <w:r>
        <w:t xml:space="preserve"> </w:t>
      </w:r>
      <w:r>
        <w:t xml:space="preserve">(двух) заявок (с учетом возможных отзывов заявок);</w:t>
      </w:r>
      <w:r/>
    </w:p>
    <w:p>
      <w:pPr>
        <w:pStyle w:val="1070"/>
      </w:pPr>
      <w:r>
        <w:t xml:space="preserve">по результатам рассмотрения заявок Закупочной комиссией принято решение о признании менее 2</w:t>
      </w:r>
      <w:r>
        <w:t xml:space="preserve"> </w:t>
      </w:r>
      <w:r>
        <w:t xml:space="preserve">(двух) заявок соответствующими требованиям Документации о закупки</w:t>
      </w:r>
      <w:r>
        <w:t xml:space="preserve">;</w:t>
      </w:r>
      <w:r/>
    </w:p>
    <w:p>
      <w:pPr>
        <w:pStyle w:val="1070"/>
      </w:pPr>
      <w:r/>
      <w:bookmarkStart w:id="178" w:name="_Hlk219297033"/>
      <w:r>
        <w:t xml:space="preserve">по результатам проведения </w:t>
      </w:r>
      <w:r>
        <w:t xml:space="preserve">закупки </w:t>
      </w:r>
      <w:r>
        <w:t xml:space="preserve">от заключения договора уклонились все </w:t>
      </w:r>
      <w:r>
        <w:t xml:space="preserve">допущенные У</w:t>
      </w:r>
      <w:r>
        <w:t xml:space="preserve">частники</w:t>
      </w:r>
      <w:r>
        <w:t xml:space="preserve"> (подраздел</w:t>
      </w:r>
      <w:bookmarkEnd w:id="178"/>
      <w:r>
        <w:t xml:space="preserve"> </w:t>
      </w:r>
      <w:r>
        <w:fldChar w:fldCharType="begin"/>
      </w:r>
      <w:r>
        <w:instrText xml:space="preserve"> REF _Ref125367068 \r \h </w:instrText>
      </w:r>
      <w:r>
        <w:fldChar w:fldCharType="separate"/>
      </w:r>
      <w:r>
        <w:t xml:space="preserve">5.3</w:t>
      </w:r>
      <w:r>
        <w:fldChar w:fldCharType="end"/>
      </w:r>
      <w:r>
        <w:t xml:space="preserve">)</w:t>
      </w:r>
      <w:r>
        <w:t xml:space="preserve">.</w:t>
      </w:r>
      <w:r/>
    </w:p>
    <w:p>
      <w:pPr>
        <w:pStyle w:val="1069"/>
      </w:pPr>
      <w:r>
        <w:t xml:space="preserve">Указанные обстоятельства в случае их наступления фиксируются в</w:t>
      </w:r>
      <w:r>
        <w:t xml:space="preserve"> </w:t>
      </w:r>
      <w:r>
        <w:t xml:space="preserve">соответствующем протоколе, оформляемом по результатам проведения закупки (или ее этапа).</w:t>
      </w:r>
      <w:r/>
    </w:p>
    <w:p>
      <w:pPr>
        <w:pStyle w:val="1069"/>
        <w:keepNext/>
      </w:pPr>
      <w:r>
        <w:t xml:space="preserve">В случае признания закупки несостоявшейся (с учетом условий, предусмотренных Положением о закупке):</w:t>
      </w:r>
      <w:r/>
    </w:p>
    <w:p>
      <w:pPr>
        <w:pStyle w:val="1070"/>
      </w:pPr>
      <w:r/>
      <w:bookmarkStart w:id="179" w:name="_Hlk214281841"/>
      <w:r>
        <w:t xml:space="preserve">если поступила только 1 (одна) заявка от одного Участника (с учетом отозванных</w:t>
      </w:r>
      <w:r>
        <w:t xml:space="preserve"> </w:t>
      </w:r>
      <w:r>
        <w:t xml:space="preserve">Участник</w:t>
      </w:r>
      <w:r>
        <w:t xml:space="preserve">ами</w:t>
      </w:r>
      <w:r>
        <w:t xml:space="preserve"> заявок), либо по результатам рассмотрения заявок</w:t>
      </w:r>
      <w:r>
        <w:t xml:space="preserve"> </w:t>
      </w:r>
      <w:r>
        <w:t xml:space="preserve">принято решение о признании только 1 (одной) заявки соответствующей требованиям </w:t>
      </w:r>
      <w:r>
        <w:t xml:space="preserve">Д</w:t>
      </w:r>
      <w:r>
        <w:t xml:space="preserve">окументации о закупке</w:t>
      </w:r>
      <w:r>
        <w:t xml:space="preserve"> – Заказчик заключает договор с Единственным участником несостоявшейся закупки (раздел </w:t>
      </w:r>
      <w:r>
        <w:fldChar w:fldCharType="begin"/>
      </w:r>
      <w:r>
        <w:instrText xml:space="preserve"> REF _Ref126142429 \r \h </w:instrText>
      </w:r>
      <w:r>
        <w:fldChar w:fldCharType="separate"/>
      </w:r>
      <w:r>
        <w:t xml:space="preserve">5</w:t>
      </w:r>
      <w:r>
        <w:fldChar w:fldCharType="end"/>
      </w:r>
      <w:r>
        <w:t xml:space="preserve">) </w:t>
      </w:r>
      <w:r>
        <w:t xml:space="preserve">(при наличии экономической целесообразности и/или при условии отсутствия времени на повторное проведение закупки).</w:t>
      </w:r>
      <w:r/>
    </w:p>
    <w:p>
      <w:pPr>
        <w:pStyle w:val="1112"/>
        <w:numPr>
          <w:ilvl w:val="0"/>
          <w:numId w:val="0"/>
        </w:numPr>
        <w:ind w:left="1701"/>
        <w:rPr>
          <w:sz w:val="26"/>
          <w:szCs w:val="26"/>
        </w:rPr>
      </w:pPr>
      <w:r>
        <w:rPr>
          <w:sz w:val="26"/>
          <w:szCs w:val="26"/>
        </w:rPr>
        <w:t xml:space="preserve">В случае отсутствия экономической целесообразности и/или при наличии времени на повторное проведение закупки, Заказчик </w:t>
      </w:r>
      <w:r>
        <w:rPr>
          <w:sz w:val="26"/>
          <w:szCs w:val="26"/>
        </w:rPr>
        <w:t xml:space="preserve">принимает</w:t>
      </w:r>
      <w:r>
        <w:rPr>
          <w:sz w:val="26"/>
          <w:szCs w:val="26"/>
        </w:rPr>
        <w:t xml:space="preserve"> одно из следующих решений в порядке приоритета:</w:t>
      </w:r>
      <w:r>
        <w:rPr>
          <w:sz w:val="26"/>
          <w:szCs w:val="26"/>
        </w:rPr>
      </w:r>
      <w:r>
        <w:rPr>
          <w:sz w:val="26"/>
          <w:szCs w:val="26"/>
        </w:rPr>
      </w:r>
    </w:p>
    <w:p>
      <w:pPr>
        <w:pStyle w:val="1115"/>
        <w:numPr>
          <w:ilvl w:val="0"/>
          <w:numId w:val="45"/>
        </w:numPr>
        <w:ind w:left="2127" w:hanging="426"/>
        <w:tabs>
          <w:tab w:val="clear" w:pos="2552" w:leader="none"/>
        </w:tabs>
        <w:rPr>
          <w:sz w:val="26"/>
          <w:szCs w:val="26"/>
        </w:rPr>
      </w:pPr>
      <w:r>
        <w:rPr>
          <w:sz w:val="26"/>
          <w:szCs w:val="26"/>
        </w:rPr>
        <w:t xml:space="preserve">повторное проведение закупки </w:t>
      </w:r>
      <w:r>
        <w:rPr>
          <w:sz w:val="26"/>
          <w:szCs w:val="26"/>
        </w:rPr>
        <w:t xml:space="preserve">(</w:t>
      </w:r>
      <w:r>
        <w:rPr>
          <w:sz w:val="26"/>
          <w:szCs w:val="26"/>
        </w:rPr>
        <w:t xml:space="preserve">в том числе с возможностью снятия признака закупки только среди субъектов МСП</w:t>
      </w:r>
      <w:r>
        <w:rPr>
          <w:sz w:val="26"/>
          <w:szCs w:val="26"/>
        </w:rPr>
        <w:t xml:space="preserve">)</w:t>
      </w:r>
      <w:r>
        <w:rPr>
          <w:sz w:val="26"/>
          <w:szCs w:val="26"/>
        </w:rPr>
        <w:t xml:space="preserve">;</w:t>
      </w:r>
      <w:r>
        <w:rPr>
          <w:sz w:val="26"/>
          <w:szCs w:val="26"/>
        </w:rPr>
      </w:r>
      <w:r>
        <w:rPr>
          <w:sz w:val="26"/>
          <w:szCs w:val="26"/>
        </w:rPr>
      </w:r>
    </w:p>
    <w:p>
      <w:pPr>
        <w:pStyle w:val="1115"/>
        <w:numPr>
          <w:ilvl w:val="0"/>
          <w:numId w:val="45"/>
        </w:numPr>
        <w:ind w:left="1701" w:firstLine="0"/>
        <w:tabs>
          <w:tab w:val="clear" w:pos="2552" w:leader="none"/>
        </w:tabs>
        <w:rPr>
          <w:sz w:val="26"/>
          <w:szCs w:val="26"/>
        </w:rPr>
      </w:pPr>
      <w:r>
        <w:rPr>
          <w:sz w:val="26"/>
          <w:szCs w:val="26"/>
        </w:rPr>
        <w:t xml:space="preserve">отказ от заключения договора по следующим основаниям:</w:t>
      </w:r>
      <w:r>
        <w:rPr>
          <w:sz w:val="26"/>
          <w:szCs w:val="26"/>
        </w:rPr>
      </w:r>
      <w:r>
        <w:rPr>
          <w:sz w:val="26"/>
          <w:szCs w:val="26"/>
        </w:rPr>
      </w:r>
    </w:p>
    <w:p>
      <w:pPr>
        <w:pStyle w:val="1115"/>
        <w:numPr>
          <w:ilvl w:val="0"/>
          <w:numId w:val="46"/>
        </w:numPr>
        <w:ind w:left="2410" w:hanging="283"/>
        <w:tabs>
          <w:tab w:val="clear" w:pos="2552" w:leader="none"/>
        </w:tabs>
        <w:rPr>
          <w:sz w:val="26"/>
          <w:szCs w:val="26"/>
        </w:rPr>
      </w:pPr>
      <w:r>
        <w:rPr>
          <w:sz w:val="26"/>
          <w:szCs w:val="26"/>
        </w:rPr>
        <w:t xml:space="preserve">изменение финансовых, инвестиционных, производственных и иных программ, оказавших влияние на потребность в данной закупке;</w:t>
      </w:r>
      <w:r>
        <w:rPr>
          <w:sz w:val="26"/>
          <w:szCs w:val="26"/>
        </w:rPr>
      </w:r>
      <w:r>
        <w:rPr>
          <w:sz w:val="26"/>
          <w:szCs w:val="26"/>
        </w:rPr>
      </w:r>
    </w:p>
    <w:p>
      <w:pPr>
        <w:pStyle w:val="1115"/>
        <w:numPr>
          <w:ilvl w:val="0"/>
          <w:numId w:val="46"/>
        </w:numPr>
        <w:ind w:left="2410" w:hanging="283"/>
        <w:tabs>
          <w:tab w:val="clear" w:pos="2552" w:leader="none"/>
        </w:tabs>
        <w:rPr>
          <w:sz w:val="26"/>
          <w:szCs w:val="26"/>
        </w:rPr>
      </w:pPr>
      <w:r>
        <w:rPr>
          <w:sz w:val="26"/>
          <w:szCs w:val="26"/>
        </w:rPr>
        <w:t xml:space="preserve">изменение потребности в продукции, в том числе изменение характеристик продукции, при наличии утверждения таких изменений;</w:t>
      </w:r>
      <w:r>
        <w:rPr>
          <w:sz w:val="26"/>
          <w:szCs w:val="26"/>
        </w:rPr>
      </w:r>
      <w:r>
        <w:rPr>
          <w:sz w:val="26"/>
          <w:szCs w:val="26"/>
        </w:rPr>
      </w:r>
    </w:p>
    <w:p>
      <w:pPr>
        <w:pStyle w:val="1115"/>
        <w:numPr>
          <w:ilvl w:val="0"/>
          <w:numId w:val="46"/>
        </w:numPr>
        <w:ind w:left="2410" w:hanging="283"/>
        <w:tabs>
          <w:tab w:val="clear" w:pos="2552" w:leader="none"/>
        </w:tabs>
        <w:rPr>
          <w:sz w:val="26"/>
          <w:szCs w:val="26"/>
        </w:rPr>
      </w:pPr>
      <w:r>
        <w:rPr>
          <w:sz w:val="26"/>
          <w:szCs w:val="26"/>
        </w:rPr>
        <w:t xml:space="preserve">необходимость исполнения предписаний антимонопольного органа;</w:t>
      </w:r>
      <w:r>
        <w:rPr>
          <w:sz w:val="26"/>
          <w:szCs w:val="26"/>
        </w:rPr>
      </w:r>
      <w:r>
        <w:rPr>
          <w:sz w:val="26"/>
          <w:szCs w:val="26"/>
        </w:rPr>
      </w:r>
    </w:p>
    <w:p>
      <w:pPr>
        <w:pStyle w:val="1115"/>
        <w:numPr>
          <w:ilvl w:val="0"/>
          <w:numId w:val="45"/>
        </w:numPr>
        <w:ind w:left="2127" w:hanging="426"/>
        <w:tabs>
          <w:tab w:val="clear" w:pos="2552" w:leader="none"/>
        </w:tabs>
        <w:rPr>
          <w:sz w:val="26"/>
          <w:szCs w:val="26"/>
        </w:rPr>
      </w:pPr>
      <w:r>
        <w:rPr>
          <w:sz w:val="26"/>
          <w:szCs w:val="26"/>
        </w:rPr>
        <w:t xml:space="preserve">отказ от дополнительного повторного проведения закупки (при отсутствии заявок, соответствующих установленным требованиям, по результатам повторного проведения закупки);</w:t>
      </w:r>
      <w:bookmarkEnd w:id="179"/>
      <w:r>
        <w:rPr>
          <w:sz w:val="26"/>
          <w:szCs w:val="26"/>
        </w:rPr>
      </w:r>
      <w:r>
        <w:rPr>
          <w:sz w:val="26"/>
          <w:szCs w:val="26"/>
        </w:rPr>
      </w:r>
    </w:p>
    <w:p>
      <w:pPr>
        <w:pStyle w:val="1070"/>
      </w:pPr>
      <w:r>
        <w:t xml:space="preserve">если не поступило ни одной заявки, либо по результатам рассмотрения заявок</w:t>
      </w:r>
      <w:r>
        <w:t xml:space="preserve">,</w:t>
      </w:r>
      <w:r>
        <w:t xml:space="preserve"> принято решение о признании их не соответствующими требованиям </w:t>
      </w:r>
      <w:r>
        <w:t xml:space="preserve">Д</w:t>
      </w:r>
      <w:r>
        <w:t xml:space="preserve">окументации о закупке</w:t>
      </w:r>
      <w:r>
        <w:t xml:space="preserve">, </w:t>
      </w:r>
      <w:bookmarkStart w:id="180" w:name="_Hlk219297054"/>
      <w:r/>
      <w:bookmarkStart w:id="181" w:name="_Hlk219301655"/>
      <w:r>
        <w:t xml:space="preserve">либо </w:t>
      </w:r>
      <w:r>
        <w:t xml:space="preserve">по результатам проведения </w:t>
      </w:r>
      <w:r>
        <w:t xml:space="preserve">закупки </w:t>
      </w:r>
      <w:r>
        <w:t xml:space="preserve">от заключения договора уклонились все </w:t>
      </w:r>
      <w:r>
        <w:t xml:space="preserve">допущенные У</w:t>
      </w:r>
      <w:r>
        <w:t xml:space="preserve">частники</w:t>
      </w:r>
      <w:bookmarkEnd w:id="180"/>
      <w:r/>
      <w:bookmarkEnd w:id="181"/>
      <w:r>
        <w:t xml:space="preserve"> </w:t>
      </w:r>
      <w:r>
        <w:t xml:space="preserve">– Заказчик проводит повторную закупку (</w:t>
      </w:r>
      <w:r>
        <w:rPr>
          <w:szCs w:val="26"/>
        </w:rPr>
        <w:t xml:space="preserve">в том числе с возможностью снятия признака закупки только среди субъектов МСП</w:t>
      </w:r>
      <w:r>
        <w:t xml:space="preserve">)</w:t>
      </w:r>
      <w:r>
        <w:t xml:space="preserve">.</w:t>
      </w:r>
      <w:r/>
    </w:p>
    <w:p>
      <w:pPr>
        <w:pStyle w:val="1112"/>
        <w:numPr>
          <w:ilvl w:val="0"/>
          <w:numId w:val="0"/>
        </w:numPr>
        <w:ind w:left="1701"/>
        <w:rPr>
          <w:sz w:val="26"/>
          <w:szCs w:val="26"/>
        </w:rPr>
      </w:pPr>
      <w:r>
        <w:rPr>
          <w:sz w:val="26"/>
          <w:szCs w:val="26"/>
        </w:rPr>
        <w:t xml:space="preserve">Заказчик вправе отказаться от проведения повторной закупки по следующим основаниям:</w:t>
      </w:r>
      <w:r>
        <w:rPr>
          <w:sz w:val="26"/>
          <w:szCs w:val="26"/>
        </w:rPr>
      </w:r>
      <w:r>
        <w:rPr>
          <w:sz w:val="26"/>
          <w:szCs w:val="26"/>
        </w:rPr>
      </w:r>
    </w:p>
    <w:p>
      <w:pPr>
        <w:pStyle w:val="1115"/>
        <w:numPr>
          <w:ilvl w:val="0"/>
          <w:numId w:val="46"/>
        </w:numPr>
        <w:ind w:left="2127" w:hanging="426"/>
        <w:tabs>
          <w:tab w:val="clear" w:pos="2552" w:leader="none"/>
        </w:tabs>
        <w:rPr>
          <w:sz w:val="26"/>
          <w:szCs w:val="26"/>
        </w:rPr>
      </w:pPr>
      <w:r>
        <w:rPr>
          <w:sz w:val="26"/>
          <w:szCs w:val="26"/>
        </w:rPr>
        <w:t xml:space="preserve">изменение финансовых, инвестиционных, производственных и иных программ, оказавших влияние на потребность в данной закупке;</w:t>
      </w:r>
      <w:r>
        <w:rPr>
          <w:sz w:val="26"/>
          <w:szCs w:val="26"/>
        </w:rPr>
      </w:r>
      <w:r>
        <w:rPr>
          <w:sz w:val="26"/>
          <w:szCs w:val="26"/>
        </w:rPr>
      </w:r>
    </w:p>
    <w:p>
      <w:pPr>
        <w:pStyle w:val="1115"/>
        <w:numPr>
          <w:ilvl w:val="0"/>
          <w:numId w:val="46"/>
        </w:numPr>
        <w:ind w:left="2127" w:hanging="426"/>
        <w:tabs>
          <w:tab w:val="clear" w:pos="2552" w:leader="none"/>
        </w:tabs>
        <w:rPr>
          <w:sz w:val="26"/>
          <w:szCs w:val="26"/>
        </w:rPr>
      </w:pPr>
      <w:r>
        <w:rPr>
          <w:sz w:val="26"/>
          <w:szCs w:val="26"/>
        </w:rPr>
        <w:t xml:space="preserve">изменение потребности в продукции, в том числе изменение характеристик продукции;</w:t>
      </w:r>
      <w:r>
        <w:rPr>
          <w:sz w:val="26"/>
          <w:szCs w:val="26"/>
        </w:rPr>
      </w:r>
      <w:r>
        <w:rPr>
          <w:sz w:val="26"/>
          <w:szCs w:val="26"/>
        </w:rPr>
      </w:r>
    </w:p>
    <w:p>
      <w:pPr>
        <w:pStyle w:val="1115"/>
        <w:numPr>
          <w:ilvl w:val="0"/>
          <w:numId w:val="46"/>
        </w:numPr>
        <w:ind w:left="2127" w:hanging="426"/>
        <w:tabs>
          <w:tab w:val="clear" w:pos="2552" w:leader="none"/>
        </w:tabs>
        <w:rPr>
          <w:sz w:val="26"/>
          <w:szCs w:val="26"/>
        </w:rPr>
      </w:pPr>
      <w:r>
        <w:rPr>
          <w:sz w:val="26"/>
          <w:szCs w:val="26"/>
        </w:rPr>
        <w:t xml:space="preserve">при отсутствии заявок, соответствующих установленным требованиям, по результатам повторного проведения закупки</w:t>
      </w:r>
      <w:r>
        <w:rPr>
          <w:sz w:val="26"/>
          <w:szCs w:val="26"/>
        </w:rPr>
        <w:t xml:space="preserve">.</w:t>
      </w:r>
      <w:r>
        <w:rPr>
          <w:sz w:val="26"/>
          <w:szCs w:val="26"/>
        </w:rPr>
      </w:r>
      <w:r>
        <w:rPr>
          <w:sz w:val="26"/>
          <w:szCs w:val="26"/>
        </w:rPr>
      </w:r>
    </w:p>
    <w:p>
      <w:pPr>
        <w:pStyle w:val="1068"/>
      </w:pPr>
      <w:r/>
      <w:bookmarkStart w:id="182" w:name="_Toc224744332"/>
      <w:r/>
      <w:bookmarkStart w:id="183" w:name="_Toc224744333"/>
      <w:r/>
      <w:bookmarkStart w:id="184" w:name="_Toc224744334"/>
      <w:r/>
      <w:bookmarkStart w:id="185" w:name="_Toc224744335"/>
      <w:r/>
      <w:bookmarkStart w:id="186" w:name="_Ref126141962"/>
      <w:r/>
      <w:bookmarkStart w:id="187" w:name="_Toc224744336"/>
      <w:r/>
      <w:bookmarkEnd w:id="182"/>
      <w:r/>
      <w:bookmarkEnd w:id="183"/>
      <w:r/>
      <w:bookmarkEnd w:id="184"/>
      <w:r/>
      <w:bookmarkEnd w:id="185"/>
      <w:r>
        <w:t xml:space="preserve">Отказ от проведения закупки</w:t>
      </w:r>
      <w:bookmarkEnd w:id="186"/>
      <w:r>
        <w:t xml:space="preserve"> (отмена закупки)</w:t>
      </w:r>
      <w:bookmarkEnd w:id="187"/>
      <w:r/>
      <w:r/>
    </w:p>
    <w:p>
      <w:pPr>
        <w:pStyle w:val="1069"/>
      </w:pPr>
      <w:r>
        <w:t xml:space="preserve">Организатор имеет право отказаться от проведения закупки не позднее окончания срока подачи заявок, не неся никакой ответственности перед Участниками или третьими лицами, которым такое действие может принести убытки.</w:t>
      </w:r>
      <w:r/>
    </w:p>
    <w:p>
      <w:pPr>
        <w:pStyle w:val="1069"/>
      </w:pPr>
      <w:r>
        <w:t xml:space="preserve">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r/>
    </w:p>
    <w:p>
      <w:pPr>
        <w:pStyle w:val="1069"/>
      </w:pPr>
      <w:r>
        <w:t xml:space="preserve">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w:t>
      </w:r>
      <w:r>
        <w:t xml:space="preserve"> </w:t>
      </w:r>
      <w:r>
        <w:t xml:space="preserve">гражданским законодательством.</w:t>
      </w:r>
      <w:r/>
    </w:p>
    <w:p>
      <w:pPr>
        <w:pStyle w:val="1068"/>
      </w:pPr>
      <w:r/>
      <w:bookmarkStart w:id="188" w:name="_Ref130455226"/>
      <w:r/>
      <w:bookmarkStart w:id="189" w:name="_Toc224744337"/>
      <w:r/>
      <w:bookmarkStart w:id="190" w:name="_Ref130225422"/>
      <w:r/>
      <w:bookmarkStart w:id="191" w:name="_Ref125361212"/>
      <w:r/>
      <w:bookmarkStart w:id="192" w:name="_Ref125362671"/>
      <w:r/>
      <w:bookmarkStart w:id="193" w:name="_Ref125363439"/>
      <w:r/>
      <w:bookmarkStart w:id="194" w:name="_Ref125366769"/>
      <w:r/>
      <w:bookmarkStart w:id="195" w:name="_Ref125367083"/>
      <w:r/>
      <w:bookmarkStart w:id="196" w:name="_Ref125367087"/>
      <w:r>
        <w:t xml:space="preserve">Особенности</w:t>
      </w:r>
      <w:r>
        <w:t xml:space="preserve"> проведения закупки с необходимостью обеспечения заявки</w:t>
      </w:r>
      <w:bookmarkEnd w:id="188"/>
      <w:r/>
      <w:bookmarkEnd w:id="189"/>
      <w:r/>
      <w:r/>
    </w:p>
    <w:p>
      <w:pPr>
        <w:pStyle w:val="1069"/>
      </w:pPr>
      <w:r>
        <w:t xml:space="preserve">Нормы настоящего подраздела применяются, если подразделом</w:t>
      </w:r>
      <w:r>
        <w:t xml:space="preserve"> </w:t>
      </w:r>
      <w:r>
        <w:fldChar w:fldCharType="begin"/>
      </w:r>
      <w:r>
        <w:instrText xml:space="preserve"> REF _Ref125359973 \w \h </w:instrText>
      </w:r>
      <w:r>
        <w:fldChar w:fldCharType="separate"/>
      </w:r>
      <w:r>
        <w:t xml:space="preserve">1.2</w:t>
      </w:r>
      <w:r>
        <w:fldChar w:fldCharType="end"/>
      </w:r>
      <w:r>
        <w:t xml:space="preserve"> предусмотрена обязанность Участников предоставить обеспечение заявки на</w:t>
      </w:r>
      <w:r>
        <w:t xml:space="preserve"> </w:t>
      </w:r>
      <w:r>
        <w:t xml:space="preserve">участие в закупке.</w:t>
      </w:r>
      <w:r/>
    </w:p>
    <w:p>
      <w:pPr>
        <w:pStyle w:val="1069"/>
      </w:pPr>
      <w:r>
        <w:t xml:space="preserve">Настоящий подраздел дополняет или изменяет порядок проведения закупки. В</w:t>
      </w:r>
      <w:r>
        <w:t xml:space="preserve"> </w:t>
      </w:r>
      <w:r>
        <w:t xml:space="preserve">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r/>
    </w:p>
    <w:p>
      <w:pPr>
        <w:pStyle w:val="1069"/>
      </w:pPr>
      <w:r>
        <w:t xml:space="preserve">Обязательства Участников, связанные с подачей заявок, обеспечиваются в</w:t>
      </w:r>
      <w:r>
        <w:t xml:space="preserve"> </w:t>
      </w:r>
      <w:r>
        <w:t xml:space="preserve">форме, порядке и размере в соответствии с подразделом</w:t>
      </w:r>
      <w:r>
        <w:t xml:space="preserve"> </w:t>
      </w:r>
      <w:r>
        <w:fldChar w:fldCharType="begin"/>
      </w:r>
      <w:r>
        <w:instrText xml:space="preserve"> REF _Ref125359973 \w \h </w:instrText>
      </w:r>
      <w:r>
        <w:fldChar w:fldCharType="separate"/>
      </w:r>
      <w:r>
        <w:t xml:space="preserve">1.2</w:t>
      </w:r>
      <w:r>
        <w:fldChar w:fldCharType="end"/>
      </w:r>
      <w:r>
        <w:t xml:space="preserve">. Выбор формы (способа) обеспечения из числа предусмотренных осуществляется Участниками самостоятельно.</w:t>
      </w:r>
      <w:r/>
    </w:p>
    <w:p>
      <w:pPr>
        <w:pStyle w:val="1069"/>
      </w:pPr>
      <w:r/>
      <w:bookmarkStart w:id="197" w:name="_Ref149316752"/>
      <w:r>
        <w:t xml:space="preserve">В случае выбора Участником обеспечения заявки в виде денежных средств, такие денежные средства в требуемом размере должны быть внесены до</w:t>
      </w:r>
      <w:r>
        <w:t xml:space="preserve"> </w:t>
      </w:r>
      <w:r>
        <w:t xml:space="preserve">момента окончания срока подачи заявок (подраздел</w:t>
      </w:r>
      <w:r>
        <w:t xml:space="preserve"> </w:t>
      </w:r>
      <w:r>
        <w:fldChar w:fldCharType="begin"/>
      </w:r>
      <w:r>
        <w:instrText xml:space="preserve"> REF _Ref125359973 \w \h </w:instrText>
      </w:r>
      <w:r>
        <w:fldChar w:fldCharType="separate"/>
      </w:r>
      <w:r>
        <w:t xml:space="preserve">1.2</w:t>
      </w:r>
      <w:r>
        <w:fldChar w:fldCharType="end"/>
      </w:r>
      <w:r>
        <w:t xml:space="preserve">) на специальный банковский счет, открытый Участником в банке, включенном в перечень, определенный Правительством Российской Федерации в соответствии с</w:t>
      </w:r>
      <w:r>
        <w:t xml:space="preserve"> </w:t>
      </w:r>
      <w:r>
        <w:t xml:space="preserve">Законом</w:t>
      </w:r>
      <w:r>
        <w:t xml:space="preserve"> </w:t>
      </w:r>
      <w:r>
        <w:t xml:space="preserve">44-ФЗ и размещенный на официальном сайте Министерства финансов Российской Федерации</w:t>
      </w:r>
      <w:r>
        <w:rPr>
          <w:rStyle w:val="1081"/>
        </w:rPr>
        <w:footnoteReference w:id="6"/>
      </w:r>
      <w:r>
        <w:t xml:space="preserve"> и на сайте ЭП, с использованием которой проводится настоящая закупка, при условии соответствия банка требованиям к</w:t>
      </w:r>
      <w:r>
        <w:t xml:space="preserve"> </w:t>
      </w:r>
      <w:r>
        <w:t xml:space="preserve">финансовой уст</w:t>
      </w:r>
      <w:r>
        <w:t xml:space="preserve">ойчивости (в том числе в части собственных средств (капитала), активов, доходности, ликвидности, структуры собственности), устанавливаемым Правительством Российской Федерации, а также наличия соответствующего соглашения об интеграции и обмене информацией с</w:t>
      </w:r>
      <w:r>
        <w:t xml:space="preserve"> </w:t>
      </w:r>
      <w:r>
        <w:t xml:space="preserve">Оператором ЭП.</w:t>
      </w:r>
      <w:bookmarkEnd w:id="197"/>
      <w:r/>
      <w:r/>
    </w:p>
    <w:p>
      <w:pPr>
        <w:pStyle w:val="1069"/>
      </w:pPr>
      <w:r>
        <w:t xml:space="preserve">В течение 1</w:t>
      </w:r>
      <w:r>
        <w:t xml:space="preserve"> </w:t>
      </w:r>
      <w:r>
        <w:t xml:space="preserve">(одного) часа с момента окончания срока подачи заявок (подраздел</w:t>
      </w:r>
      <w:r>
        <w:t xml:space="preserve"> </w:t>
      </w:r>
      <w:r>
        <w:fldChar w:fldCharType="begin"/>
      </w:r>
      <w:r>
        <w:instrText xml:space="preserve"> REF _Ref125359973 \w \h </w:instrText>
      </w:r>
      <w:r>
        <w:fldChar w:fldCharType="separate"/>
      </w:r>
      <w:r>
        <w:t xml:space="preserve">1.2</w:t>
      </w:r>
      <w:r>
        <w:fldChar w:fldCharType="end"/>
      </w:r>
      <w:r>
        <w:t xml:space="preserve">) Оператор ЭП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1</w:t>
      </w:r>
      <w:r>
        <w:t xml:space="preserve"> </w:t>
      </w:r>
      <w:r>
        <w:t xml:space="preserve">(одного)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об этом Оператора ЭП.</w:t>
      </w:r>
      <w:r/>
    </w:p>
    <w:p>
      <w:pPr>
        <w:pStyle w:val="1069"/>
      </w:pPr>
      <w:r>
        <w:t xml:space="preserve">Блокирование денежных средств не осуществляется в случае отсутствия на</w:t>
      </w:r>
      <w:r>
        <w:t xml:space="preserve"> </w:t>
      </w:r>
      <w:r>
        <w:t xml:space="preserve">специальном банковском счете Участника денежных средств в требуемом размере, либо в случае приостановления операций по такому счету в</w:t>
      </w:r>
      <w:r>
        <w:t xml:space="preserve"> </w:t>
      </w:r>
      <w:r>
        <w:t xml:space="preserve">соответствии с законодательством, о чем Оператор ЭП информируется в</w:t>
      </w:r>
      <w:r>
        <w:t xml:space="preserve"> </w:t>
      </w:r>
      <w:r>
        <w:t xml:space="preserve">течение 1</w:t>
      </w:r>
      <w:r>
        <w:t xml:space="preserve"> </w:t>
      </w:r>
      <w:r>
        <w:t xml:space="preserve">(одного) часа.</w:t>
      </w:r>
      <w:r/>
    </w:p>
    <w:p>
      <w:pPr>
        <w:pStyle w:val="1069"/>
      </w:pPr>
      <w:r>
        <w:t xml:space="preserve">Если блокирование денежных средств не может быть осуществлено, Оператор ЭП возвращает заявку подавшему ее Участнику в течение 1</w:t>
      </w:r>
      <w:r>
        <w:t xml:space="preserve"> </w:t>
      </w:r>
      <w:r>
        <w:t xml:space="preserve">(одного) часа с</w:t>
      </w:r>
      <w:r>
        <w:t xml:space="preserve"> </w:t>
      </w:r>
      <w:r>
        <w:t xml:space="preserve">момента получения соответствующей информации от банка. Такая заявка автоматически отклоняется Оператором ЭП от дальнейшего участия в закупке, а сведения о ней не направляются в адрес Организатора.</w:t>
      </w:r>
      <w:r/>
    </w:p>
    <w:p>
      <w:pPr>
        <w:pStyle w:val="1069"/>
        <w:keepNext/>
      </w:pPr>
      <w:r>
        <w:t xml:space="preserve">В случае выбора Участником обеспечения заявки путем предоставления независимой гарантии, такая независимая гарантия составляется с учетом требований статей 368 – 379 ГК</w:t>
      </w:r>
      <w:r>
        <w:t xml:space="preserve"> </w:t>
      </w:r>
      <w:r>
        <w:t xml:space="preserve">РФ, а также следующих условий:</w:t>
      </w:r>
      <w:r/>
    </w:p>
    <w:p>
      <w:pPr>
        <w:pStyle w:val="1070"/>
      </w:pPr>
      <w:r>
        <w:t xml:space="preserve">независимая гарантия должна быть безотзывной и безусловной (гарантия по первому требованию);</w:t>
      </w:r>
      <w:r/>
    </w:p>
    <w:p>
      <w:pPr>
        <w:pStyle w:val="1070"/>
      </w:pPr>
      <w:r>
        <w:t xml:space="preserve">сумма независимой гарантии должна быть выражена в российских рублях и составлять не менее суммы, установленной в подразделе</w:t>
      </w:r>
      <w:r>
        <w:t xml:space="preserve"> </w:t>
      </w:r>
      <w:r>
        <w:fldChar w:fldCharType="begin"/>
      </w:r>
      <w:r>
        <w:instrText xml:space="preserve"> REF _Ref125359973 \w \h </w:instrText>
      </w:r>
      <w:r>
        <w:fldChar w:fldCharType="separate"/>
      </w:r>
      <w:r>
        <w:t xml:space="preserve">1.2</w:t>
      </w:r>
      <w:r>
        <w:fldChar w:fldCharType="end"/>
      </w:r>
      <w:r>
        <w:t xml:space="preserve">;</w:t>
      </w:r>
      <w:r/>
    </w:p>
    <w:p>
      <w:pPr>
        <w:pStyle w:val="1070"/>
      </w:pPr>
      <w:r>
        <w:t xml:space="preserve">бенефициаром в независимой гарантии должен быть указан Заказчик, принципалом – Участник, гарантом – организация, выдавшая независимую гарантию (подпункт</w:t>
      </w:r>
      <w:r>
        <w:t xml:space="preserve"> </w:t>
      </w:r>
      <w:r>
        <w:fldChar w:fldCharType="begin"/>
      </w:r>
      <w:r>
        <w:instrText xml:space="preserve"> REF  _Ref149316697 \d ( \h \w </w:instrText>
      </w:r>
      <w:r>
        <w:fldChar w:fldCharType="separate"/>
      </w:r>
      <w:r>
        <w:t xml:space="preserve">4.17.8(л)</w:t>
      </w:r>
      <w:r>
        <w:fldChar w:fldCharType="end"/>
      </w:r>
      <w:r>
        <w:t xml:space="preserve">);</w:t>
      </w:r>
      <w:r/>
    </w:p>
    <w:p>
      <w:pPr>
        <w:pStyle w:val="1070"/>
      </w:pPr>
      <w:r>
        <w:t xml:space="preserve">в независимой гарантии должно быть предусмотрено условие об</w:t>
      </w:r>
      <w:r>
        <w:t xml:space="preserve"> </w:t>
      </w:r>
      <w:r>
        <w:t xml:space="preserve">обязанности гаранта уплатить Заказчику (бенефициару) денежную сумму по независимой гарантии не позднее 10</w:t>
      </w:r>
      <w:r>
        <w:t xml:space="preserve"> </w:t>
      </w:r>
      <w:r>
        <w:t xml:space="preserve">(десяти) рабочих дней со</w:t>
      </w:r>
      <w:r>
        <w:t xml:space="preserve"> </w:t>
      </w:r>
      <w:r>
        <w:t xml:space="preserve">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ГК</w:t>
      </w:r>
      <w:r>
        <w:t xml:space="preserve"> </w:t>
      </w:r>
      <w:r>
        <w:t xml:space="preserve">РФ оснований для отказа в</w:t>
      </w:r>
      <w:r>
        <w:t xml:space="preserve"> </w:t>
      </w:r>
      <w:r>
        <w:t xml:space="preserve">удовлетворении этого требования;</w:t>
      </w:r>
      <w:r/>
    </w:p>
    <w:p>
      <w:pPr>
        <w:pStyle w:val="1070"/>
      </w:pPr>
      <w:r>
        <w:t xml:space="preserve">в независимой гарантии должен быть указан перечень документов, подлежащих представлению заказчиком гаранту одновременно с</w:t>
      </w:r>
      <w:r>
        <w:t xml:space="preserve"> </w:t>
      </w:r>
      <w:r>
        <w:t xml:space="preserve">требованием об уплате денежной суммы по независимой гарантии, в</w:t>
      </w:r>
      <w:r>
        <w:t xml:space="preserve"> </w:t>
      </w:r>
      <w:r>
        <w:t xml:space="preserve">случае установления такого перечня Правительством Российской Федерации;</w:t>
      </w:r>
      <w:r/>
    </w:p>
    <w:p>
      <w:pPr>
        <w:pStyle w:val="1070"/>
      </w:pPr>
      <w:r>
        <w:t xml:space="preserve">в независимой гарантии должен быть указан срок действия независимой гарантии, который не может составлять менее одного месяца с даты окончания срока подачи заявок (подраздел</w:t>
      </w:r>
      <w:r>
        <w:t xml:space="preserve"> </w:t>
      </w:r>
      <w:r>
        <w:fldChar w:fldCharType="begin"/>
      </w:r>
      <w:r>
        <w:instrText xml:space="preserve"> REF _Ref125359973 \w \h </w:instrText>
      </w:r>
      <w:r>
        <w:fldChar w:fldCharType="separate"/>
      </w:r>
      <w:r>
        <w:t xml:space="preserve">1.2</w:t>
      </w:r>
      <w:r>
        <w:fldChar w:fldCharType="end"/>
      </w:r>
      <w:r>
        <w:t xml:space="preserve">);</w:t>
      </w:r>
      <w:r/>
    </w:p>
    <w:p>
      <w:pPr>
        <w:pStyle w:val="1070"/>
      </w:pPr>
      <w:r>
        <w:t xml:space="preserve">независимая гарантия не должна содержать условие о предоставлении Заказчиком гаранту судебных актов, подтверждающих неисполнение Участником обязательств, обеспечиваемых независимой гарантией;</w:t>
      </w:r>
      <w:r/>
    </w:p>
    <w:p>
      <w:pPr>
        <w:pStyle w:val="1070"/>
      </w:pPr>
      <w:r>
        <w:t xml:space="preserve">в независимой гарантии должно быть предусмотрено безусловное право Заказчика на истребование суммы независимой гарантии полностью или частично, в случае нарушения Участником закупки своих обязательств (пункт</w:t>
      </w:r>
      <w:r>
        <w:t xml:space="preserve"> </w:t>
      </w:r>
      <w:r>
        <w:fldChar w:fldCharType="begin"/>
      </w:r>
      <w:r>
        <w:instrText xml:space="preserve"> REF _Ref149316775 \w \h </w:instrText>
      </w:r>
      <w:r>
        <w:fldChar w:fldCharType="separate"/>
      </w:r>
      <w:r>
        <w:t xml:space="preserve">4.17.14</w:t>
      </w:r>
      <w:r>
        <w:fldChar w:fldCharType="end"/>
      </w:r>
      <w:r>
        <w:t xml:space="preserve">);</w:t>
      </w:r>
      <w:r/>
    </w:p>
    <w:p>
      <w:pPr>
        <w:pStyle w:val="1070"/>
      </w:pPr>
      <w:r>
        <w:t xml:space="preserve">независимая гарантия должна содержать условия, предусмотренные Законом</w:t>
      </w:r>
      <w:r>
        <w:t xml:space="preserve"> </w:t>
      </w:r>
      <w:r>
        <w:t xml:space="preserve">223-ФЗ, а также соответствовать дополнительным требованиям к</w:t>
      </w:r>
      <w:r>
        <w:t xml:space="preserve"> </w:t>
      </w:r>
      <w:r>
        <w:t xml:space="preserve">независимой гарантии, используемой для целей проведения конкурентных закупок с участием субъектов МСП, устанавливаемым Правительством Российской Федерации;</w:t>
      </w:r>
      <w:r/>
    </w:p>
    <w:p>
      <w:pPr>
        <w:pStyle w:val="1070"/>
      </w:pPr>
      <w:r>
        <w:t xml:space="preserve">в независимой гарантии не должно быть условий или требований, противоречащих вышеизложенному или делающих вышеизложенное неисполнимым;</w:t>
      </w:r>
      <w:r/>
    </w:p>
    <w:p>
      <w:pPr>
        <w:pStyle w:val="1070"/>
      </w:pPr>
      <w:r/>
      <w:bookmarkStart w:id="198" w:name="_Ref149316697"/>
      <w:r>
        <w:t xml:space="preserve">независимая гарантия должна быть выдана организацией из числа указанных в части</w:t>
      </w:r>
      <w:r>
        <w:t xml:space="preserve"> </w:t>
      </w:r>
      <w:r>
        <w:t xml:space="preserve">1 статьи</w:t>
      </w:r>
      <w:r>
        <w:t xml:space="preserve"> </w:t>
      </w:r>
      <w:r>
        <w:t xml:space="preserve">45 Закона</w:t>
      </w:r>
      <w:r>
        <w:t xml:space="preserve"> </w:t>
      </w:r>
      <w:r>
        <w:t xml:space="preserve">44-ФЗ;</w:t>
      </w:r>
      <w:bookmarkEnd w:id="198"/>
      <w:r/>
      <w:r/>
    </w:p>
    <w:p>
      <w:pPr>
        <w:pStyle w:val="1070"/>
      </w:pPr>
      <w:r>
        <w:t xml:space="preserve">независимая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типовые формы (URDG</w:t>
      </w:r>
      <w:r>
        <w:t xml:space="preserve"> </w:t>
      </w:r>
      <w:r>
        <w:t xml:space="preserve">758) (Публикация Международной торговой палаты №</w:t>
      </w:r>
      <w:r>
        <w:t xml:space="preserve"> </w:t>
      </w:r>
      <w:r>
        <w:t xml:space="preserve">758). Редакция 2010</w:t>
      </w:r>
      <w:r>
        <w:t xml:space="preserve"> </w:t>
      </w:r>
      <w:r>
        <w:t xml:space="preserve">года» в той мере, в какой указанные правила не</w:t>
      </w:r>
      <w:r>
        <w:t xml:space="preserve"> </w:t>
      </w:r>
      <w:r>
        <w:t xml:space="preserve">противоречат императивным нормам законодательства, а также предусматривать Арбитражный суд по месту нахождения Заказчика в</w:t>
      </w:r>
      <w:r>
        <w:t xml:space="preserve"> </w:t>
      </w:r>
      <w:r>
        <w:t xml:space="preserve">качестве органа, компетентного разрешать споры из независимой гарантии;</w:t>
      </w:r>
      <w:r/>
    </w:p>
    <w:p>
      <w:pPr>
        <w:pStyle w:val="1070"/>
      </w:pPr>
      <w:r>
        <w:t xml:space="preserve">информация о независимой гарантии должна быть включена в реестр независимых гарантий, предусмотренный частью</w:t>
      </w:r>
      <w:r>
        <w:t xml:space="preserve"> </w:t>
      </w:r>
      <w:r>
        <w:t xml:space="preserve">8 статьи</w:t>
      </w:r>
      <w:r>
        <w:t xml:space="preserve"> </w:t>
      </w:r>
      <w:r>
        <w:t xml:space="preserve">45 Закона</w:t>
      </w:r>
      <w:r>
        <w:t xml:space="preserve"> </w:t>
      </w:r>
      <w:r>
        <w:t xml:space="preserve">44</w:t>
      </w:r>
      <w:r>
        <w:noBreakHyphen/>
      </w:r>
      <w:r>
        <w:t xml:space="preserve">ФЗ.</w:t>
      </w:r>
      <w:r/>
    </w:p>
    <w:p>
      <w:pPr>
        <w:pStyle w:val="1069"/>
      </w:pPr>
      <w:r>
        <w:t xml:space="preserve">В случае выбора Учас</w:t>
      </w:r>
      <w:r>
        <w:t xml:space="preserve">тником обеспечения заявки путем предоставления независимой гарантии он должен предоставить в составе своей заявки копию такой гарантии, подтверждающую наличие обеспечения заявки в требуемом размере и соответствующую требованиям к условиям такой гарантии. В</w:t>
      </w:r>
      <w:r>
        <w:t xml:space="preserve"> </w:t>
      </w:r>
      <w:r>
        <w:t xml:space="preserve">противном случае обеспечение заявки считается невнесенным, и Организатор обязан отклонить заявку такого Участника.</w:t>
      </w:r>
      <w:r/>
    </w:p>
    <w:p>
      <w:pPr>
        <w:pStyle w:val="1069"/>
      </w:pPr>
      <w:r>
        <w:t xml:space="preserve">Несоответствие независимой гарантии, предоставленной Участником закупки, предусмотренным настоящей Документацией о закупке требованиям, является основанием для отклонения заявки такого Участника.</w:t>
      </w:r>
      <w:r/>
    </w:p>
    <w:p>
      <w:pPr>
        <w:pStyle w:val="1069"/>
      </w:pPr>
      <w:r>
        <w:t xml:space="preserve">При многолотовой закупке (подраздел</w:t>
      </w:r>
      <w:r>
        <w:t xml:space="preserve"> </w:t>
      </w:r>
      <w:r>
        <w:fldChar w:fldCharType="begin"/>
      </w:r>
      <w:r>
        <w:instrText xml:space="preserve"> REF _Ref149316841 \w \h </w:instrText>
      </w:r>
      <w:r>
        <w:fldChar w:fldCharType="separate"/>
      </w:r>
      <w:r>
        <w:t xml:space="preserve">4.18</w:t>
      </w:r>
      <w:r>
        <w:fldChar w:fldCharType="end"/>
      </w:r>
      <w:r>
        <w:t xml:space="preserve">) обеспечение исполнения обязательств Участника офо</w:t>
      </w:r>
      <w:r>
        <w:t xml:space="preserve">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w:t>
      </w:r>
      <w:r>
        <w:t xml:space="preserve"> </w:t>
      </w:r>
      <w:r>
        <w:t xml:space="preserve">которые Участник подал заявку и по которым он был признан Победителем.</w:t>
      </w:r>
      <w:r/>
    </w:p>
    <w:p>
      <w:pPr>
        <w:pStyle w:val="1069"/>
      </w:pPr>
      <w:r>
        <w:t xml:space="preserve">Подать заявку (принять участие в закупке) могут только Участники, предоставившие надлежащее обеспечение их заявок.</w:t>
      </w:r>
      <w:r/>
    </w:p>
    <w:p>
      <w:pPr>
        <w:pStyle w:val="1069"/>
      </w:pPr>
      <w:r>
        <w:t xml:space="preserve">Требование об обеспечении заявки в равной мере распространяется на всех Участников.</w:t>
      </w:r>
      <w:r/>
    </w:p>
    <w:p>
      <w:pPr>
        <w:pStyle w:val="1069"/>
        <w:keepNext/>
      </w:pPr>
      <w:r/>
      <w:bookmarkStart w:id="199" w:name="_Ref149316775"/>
      <w:r>
        <w:t xml:space="preserve">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bookmarkEnd w:id="199"/>
      <w:r/>
      <w:r/>
    </w:p>
    <w:p>
      <w:pPr>
        <w:pStyle w:val="1070"/>
      </w:pPr>
      <w:r>
        <w:t xml:space="preserve">обязательство заключить Договор в установленном Документацией о</w:t>
      </w:r>
      <w:r>
        <w:t xml:space="preserve"> </w:t>
      </w:r>
      <w:r>
        <w:t xml:space="preserve">закупке порядке (раздел</w:t>
      </w:r>
      <w:r>
        <w:t xml:space="preserve"> </w:t>
      </w:r>
      <w:r>
        <w:fldChar w:fldCharType="begin"/>
      </w:r>
      <w:r>
        <w:instrText xml:space="preserve"> REF _Ref126142429 \n \h </w:instrText>
      </w:r>
      <w:r>
        <w:fldChar w:fldCharType="separate"/>
      </w:r>
      <w:r>
        <w:t xml:space="preserve">5</w:t>
      </w:r>
      <w:r>
        <w:fldChar w:fldCharType="end"/>
      </w:r>
      <w:r>
        <w:t xml:space="preserve">), в том числе предоставить Сведения о</w:t>
      </w:r>
      <w:r>
        <w:t xml:space="preserve"> </w:t>
      </w:r>
      <w:r>
        <w:t xml:space="preserve">цепочке собственников, включая бенефициаров (в том числе конечных) (</w:t>
      </w:r>
      <w:hyperlink w:tooltip="#Прил05_ФормыПобедителя" w:anchor="Прил05_ФормыПобедителя" w:history="1">
        <w:r>
          <w:rPr>
            <w:rStyle w:val="1097"/>
          </w:rPr>
          <w:t xml:space="preserve">Приложение № 5</w:t>
        </w:r>
      </w:hyperlink>
      <w:r>
        <w:t xml:space="preserve">), а также предоставить иные документы в соответствии с условиями подраздела</w:t>
      </w:r>
      <w:r>
        <w:t xml:space="preserve"> </w:t>
      </w:r>
      <w:r>
        <w:fldChar w:fldCharType="begin"/>
      </w:r>
      <w:r>
        <w:instrText xml:space="preserve"> REF _Ref138232981 \n \h </w:instrText>
      </w:r>
      <w:r>
        <w:fldChar w:fldCharType="separate"/>
      </w:r>
      <w:r>
        <w:t xml:space="preserve">5.2</w:t>
      </w:r>
      <w:r>
        <w:fldChar w:fldCharType="end"/>
      </w:r>
      <w:r>
        <w:t xml:space="preserve">;</w:t>
      </w:r>
      <w:r/>
    </w:p>
    <w:p>
      <w:pPr>
        <w:pStyle w:val="1070"/>
      </w:pPr>
      <w:r>
        <w:t xml:space="preserve">обязательство предоставить до заключения договора Заказчику обеспечение исполнения договора – если </w:t>
      </w:r>
      <w:hyperlink w:tooltip="#Прил02_ПроектДоговора" w:anchor="Прил02_ПроектДоговора" w:history="1">
        <w:r>
          <w:rPr>
            <w:rStyle w:val="1097"/>
          </w:rPr>
          <w:t xml:space="preserve">Проект договора (Приложение № 2)</w:t>
        </w:r>
      </w:hyperlink>
      <w:r>
        <w:t xml:space="preserve"> предусматривает обеспечение исполнения договора с</w:t>
      </w:r>
      <w:r>
        <w:t xml:space="preserve"> </w:t>
      </w:r>
      <w:r>
        <w:t xml:space="preserve">соответствующими обязательствами (в порядке и сроки, предусмотренные </w:t>
      </w:r>
      <w:hyperlink w:tooltip="#Прил02_ПроектДоговора" w:anchor="Прил02_ПроектДоговора" w:history="1">
        <w:r>
          <w:rPr>
            <w:rStyle w:val="1097"/>
          </w:rPr>
          <w:t xml:space="preserve">Проектом договора</w:t>
        </w:r>
      </w:hyperlink>
      <w:r>
        <w:t xml:space="preserve">).</w:t>
      </w:r>
      <w:r/>
    </w:p>
    <w:p>
      <w:pPr>
        <w:pStyle w:val="1069"/>
      </w:pPr>
      <w:r>
        <w:t xml:space="preserve">В случае невыполнения Победителем указанных выше обязательств Организатор вправе удержать обеспечение заявки путем обращения в</w:t>
      </w:r>
      <w:r>
        <w:t xml:space="preserve"> </w:t>
      </w:r>
      <w:r>
        <w:t xml:space="preserve">соответствующую организацию-гарант. При этом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(подраздел</w:t>
      </w:r>
      <w:r>
        <w:t xml:space="preserve"> </w:t>
      </w:r>
      <w:r>
        <w:fldChar w:fldCharType="begin"/>
      </w:r>
      <w:r>
        <w:instrText xml:space="preserve"> REF _Ref125359973 \n \h </w:instrText>
      </w:r>
      <w:r>
        <w:fldChar w:fldCharType="separate"/>
      </w:r>
      <w:r>
        <w:t xml:space="preserve">1.2</w:t>
      </w:r>
      <w:r>
        <w:fldChar w:fldCharType="end"/>
      </w:r>
      <w:r>
        <w:t xml:space="preserve">).</w:t>
      </w:r>
      <w:r/>
    </w:p>
    <w:p>
      <w:pPr>
        <w:pStyle w:val="1069"/>
        <w:keepNext/>
      </w:pPr>
      <w:r>
        <w:t xml:space="preserve">Возврат обеспечения заявки (в случае предоставления Участником обеспечения в виде денежных средств) осуществляется Организатором в срок не более 7</w:t>
      </w:r>
      <w:r>
        <w:t xml:space="preserve"> </w:t>
      </w:r>
      <w:r>
        <w:t xml:space="preserve">(семи) рабочих дней с даты:</w:t>
      </w:r>
      <w:r/>
    </w:p>
    <w:p>
      <w:pPr>
        <w:pStyle w:val="1070"/>
      </w:pPr>
      <w:r>
        <w:t xml:space="preserve">принятия решения об отказе от проведения закупки – всем Участникам, подавшим заявки к моменту принятия такого решения;</w:t>
      </w:r>
      <w:r/>
    </w:p>
    <w:p>
      <w:pPr>
        <w:pStyle w:val="1070"/>
      </w:pPr>
      <w:r>
        <w:t xml:space="preserve">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r/>
    </w:p>
    <w:p>
      <w:pPr>
        <w:pStyle w:val="1070"/>
      </w:pPr>
      <w:r>
        <w:t xml:space="preserve">официального размещения итогового протокола по результатам закупки – всем Участникам, кроме Победителя;</w:t>
      </w:r>
      <w:r/>
    </w:p>
    <w:p>
      <w:pPr>
        <w:pStyle w:val="1070"/>
      </w:pPr>
      <w:r>
        <w:t xml:space="preserve">заключения Договора по результатам закупки – Победителю, с которым заключен Договор;</w:t>
      </w:r>
      <w:r/>
    </w:p>
    <w:p>
      <w:pPr>
        <w:pStyle w:val="1070"/>
      </w:pPr>
      <w:r>
        <w:t xml:space="preserve">признания закупки несостоявшейся – Участнику, которому обеспечение не было возвращено по иным основаниям.</w:t>
      </w:r>
      <w:r/>
    </w:p>
    <w:p>
      <w:pPr>
        <w:pStyle w:val="1069"/>
      </w:pPr>
      <w:r>
        <w:t xml:space="preserve">Возврат обеспечения заявки может быть задержан в случае поступления в</w:t>
      </w:r>
      <w:r>
        <w:t xml:space="preserve"> </w:t>
      </w:r>
      <w:r>
        <w:t xml:space="preserve">установленном законодательством порядке жалобы по закупке (подраздел</w:t>
      </w:r>
      <w:r>
        <w:t xml:space="preserve"> </w:t>
      </w:r>
      <w:r>
        <w:fldChar w:fldCharType="begin"/>
      </w:r>
      <w:r>
        <w:instrText xml:space="preserve"> REF _Ref125363536 \n \h </w:instrText>
      </w:r>
      <w:r>
        <w:fldChar w:fldCharType="separate"/>
      </w:r>
      <w:r>
        <w:t xml:space="preserve">2.3</w:t>
      </w:r>
      <w:r>
        <w:fldChar w:fldCharType="end"/>
      </w:r>
      <w:r>
        <w:t xml:space="preserve">) – на время рассмотрения жалобы.</w:t>
      </w:r>
      <w:r/>
    </w:p>
    <w:p>
      <w:pPr>
        <w:pStyle w:val="1068"/>
      </w:pPr>
      <w:r/>
      <w:bookmarkStart w:id="200" w:name="_Ref149316841"/>
      <w:r/>
      <w:bookmarkStart w:id="201" w:name="_Toc224744338"/>
      <w:r>
        <w:t xml:space="preserve">Особенности проведения м</w:t>
      </w:r>
      <w:r>
        <w:t xml:space="preserve">ноголотов</w:t>
      </w:r>
      <w:r>
        <w:t xml:space="preserve">ой</w:t>
      </w:r>
      <w:r>
        <w:t xml:space="preserve"> закупк</w:t>
      </w:r>
      <w:r>
        <w:t xml:space="preserve">и</w:t>
      </w:r>
      <w:bookmarkEnd w:id="190"/>
      <w:r/>
      <w:bookmarkEnd w:id="200"/>
      <w:r/>
      <w:bookmarkEnd w:id="201"/>
      <w:r/>
      <w:r/>
    </w:p>
    <w:p>
      <w:pPr>
        <w:pStyle w:val="1069"/>
      </w:pPr>
      <w:r>
        <w:t xml:space="preserve">Нормы настоящего подраздела применяются, если подразделом</w:t>
      </w:r>
      <w:r>
        <w:t xml:space="preserve"> </w:t>
      </w:r>
      <w:r>
        <w:fldChar w:fldCharType="begin"/>
      </w:r>
      <w:r>
        <w:instrText xml:space="preserve"> REF _Ref125359973 \r \h </w:instrText>
      </w:r>
      <w:r>
        <w:fldChar w:fldCharType="separate"/>
      </w:r>
      <w:r>
        <w:t xml:space="preserve">1.2</w:t>
      </w:r>
      <w:r>
        <w:fldChar w:fldCharType="end"/>
      </w:r>
      <w:r>
        <w:t xml:space="preserve"> предусмотрено проведение многолотовой закупки.</w:t>
      </w:r>
      <w:r/>
    </w:p>
    <w:p>
      <w:pPr>
        <w:pStyle w:val="1069"/>
      </w:pPr>
      <w:r>
        <w:t xml:space="preserve">Настоящий подраздел дополняет</w:t>
      </w:r>
      <w:r>
        <w:t xml:space="preserve"> или изменяет</w:t>
      </w:r>
      <w:r>
        <w:t xml:space="preserve"> </w:t>
      </w:r>
      <w:r>
        <w:t xml:space="preserve">порядок</w:t>
      </w:r>
      <w:r>
        <w:t xml:space="preserve"> проведения закупки</w:t>
      </w:r>
      <w:r>
        <w:t xml:space="preserve">. </w:t>
      </w:r>
      <w:r>
        <w:t xml:space="preserve">В</w:t>
      </w:r>
      <w:r>
        <w:t xml:space="preserve"> </w:t>
      </w:r>
      <w:r>
        <w:t xml:space="preserve">случае противоречий между требованиями настоящего </w:t>
      </w:r>
      <w:r>
        <w:t xml:space="preserve">подраздела </w:t>
      </w:r>
      <w:r>
        <w:t xml:space="preserve">и </w:t>
      </w:r>
      <w:r>
        <w:t xml:space="preserve">порядка проведения закупки</w:t>
      </w:r>
      <w:r>
        <w:t xml:space="preserve"> или</w:t>
      </w:r>
      <w:r>
        <w:t xml:space="preserve"> с инструкциями по</w:t>
      </w:r>
      <w:r>
        <w:t xml:space="preserve"> </w:t>
      </w:r>
      <w:r>
        <w:t xml:space="preserve">подготовке заяв</w:t>
      </w:r>
      <w:r>
        <w:t xml:space="preserve">к</w:t>
      </w:r>
      <w:r>
        <w:t xml:space="preserve">и</w:t>
      </w:r>
      <w:r>
        <w:t xml:space="preserve"> применяются требования настоящего </w:t>
      </w:r>
      <w:r>
        <w:t xml:space="preserve">под</w:t>
      </w:r>
      <w:r>
        <w:t xml:space="preserve">раздела.</w:t>
      </w:r>
      <w:r/>
    </w:p>
    <w:p>
      <w:pPr>
        <w:pStyle w:val="1069"/>
      </w:pPr>
      <w:r>
        <w:t xml:space="preserve">Многолотовая закупка может </w:t>
      </w:r>
      <w:r>
        <w:t xml:space="preserve">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lang w:val="en-US"/>
        </w:rPr>
        <w:t xml:space="preserve"> </w:t>
      </w:r>
      <w:r>
        <w:t xml:space="preserve">указан номер конкретного лота, относятся ко всем лотам одновременно.</w:t>
      </w:r>
      <w:r/>
    </w:p>
    <w:p>
      <w:pPr>
        <w:pStyle w:val="1069"/>
      </w:pPr>
      <w:r>
        <w:t xml:space="preserve">Участник может подать </w:t>
      </w:r>
      <w:r>
        <w:t xml:space="preserve">одну </w:t>
      </w:r>
      <w:r>
        <w:t xml:space="preserve">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w:t>
      </w:r>
      <w:r>
        <w:t xml:space="preserve"> В многолотовой </w:t>
      </w:r>
      <w:r>
        <w:t xml:space="preserve">закупке </w:t>
      </w:r>
      <w:r>
        <w:t xml:space="preserve">подача Участником по</w:t>
      </w:r>
      <w:r>
        <w:t xml:space="preserve"> </w:t>
      </w:r>
      <w:r>
        <w:t xml:space="preserve">одной </w:t>
      </w:r>
      <w:r>
        <w:t xml:space="preserve">заявке </w:t>
      </w:r>
      <w:r>
        <w:t xml:space="preserve">на каждый лот не считается</w:t>
      </w:r>
      <w:r>
        <w:t xml:space="preserve"> подачей</w:t>
      </w:r>
      <w:r>
        <w:t xml:space="preserve"> второй заявки на</w:t>
      </w:r>
      <w:r>
        <w:t xml:space="preserve"> </w:t>
      </w:r>
      <w:r>
        <w:t xml:space="preserve">закупку.</w:t>
      </w:r>
      <w:r/>
    </w:p>
    <w:p>
      <w:pPr>
        <w:pStyle w:val="1069"/>
        <w:keepNext/>
      </w:pPr>
      <w:r>
        <w:t xml:space="preserve">В случае подачи заявки на несколько лотов </w:t>
      </w:r>
      <w:r>
        <w:t xml:space="preserve">дополнительно должны быть</w:t>
      </w:r>
      <w:r>
        <w:t xml:space="preserve"> </w:t>
      </w:r>
      <w:r>
        <w:t xml:space="preserve">соблюдены следующие требования:</w:t>
      </w:r>
      <w:r/>
    </w:p>
    <w:p>
      <w:pPr>
        <w:pStyle w:val="1070"/>
      </w:pPr>
      <w:r>
        <w:t xml:space="preserve">Письмо о подаче оферты (форма 2)</w:t>
      </w:r>
      <w:r>
        <w:t xml:space="preserve"> (</w:t>
      </w:r>
      <w:hyperlink w:tooltip="#Прил04_ФормыЗаявки" w:anchor="Прил04_ФормыЗаявки" w:history="1">
        <w:r>
          <w:rPr>
            <w:rStyle w:val="1097"/>
          </w:rPr>
          <w:t xml:space="preserve">Приложение № </w:t>
        </w:r>
        <w:r>
          <w:rPr>
            <w:rStyle w:val="1097"/>
          </w:rPr>
          <w:t xml:space="preserve">4</w:t>
        </w:r>
      </w:hyperlink>
      <w:r>
        <w:t xml:space="preserve">)</w:t>
      </w:r>
      <w:r>
        <w:t xml:space="preserve"> должно содержать указание номера и названия каждого лота;</w:t>
      </w:r>
      <w:r/>
    </w:p>
    <w:p>
      <w:pPr>
        <w:pStyle w:val="1070"/>
      </w:pPr>
      <w:r>
        <w:t xml:space="preserve">Коммерческое предложение (форма 3), Техническое предложение </w:t>
      </w:r>
      <w:r>
        <w:t xml:space="preserve">(с </w:t>
      </w:r>
      <w:r>
        <w:t xml:space="preserve">(форма 4), </w:t>
      </w:r>
      <w:r>
        <w:t xml:space="preserve">План распределения объемов поставки продукции (форма</w:t>
      </w:r>
      <w:r>
        <w:t xml:space="preserve"> </w:t>
      </w:r>
      <w:r>
        <w:t xml:space="preserve">4</w:t>
      </w:r>
      <w:r>
        <w:t xml:space="preserve">)</w:t>
      </w:r>
      <w:r>
        <w:t xml:space="preserve"> – </w:t>
      </w:r>
      <w:hyperlink w:tooltip="#Прил04_ФормыЗаявки" w:anchor="Прил04_ФормыЗаявки" w:history="1">
        <w:r>
          <w:rPr>
            <w:rStyle w:val="1097"/>
          </w:rPr>
          <w:t xml:space="preserve">Приложение № </w:t>
        </w:r>
        <w:r>
          <w:rPr>
            <w:rStyle w:val="1097"/>
          </w:rPr>
          <w:t xml:space="preserve">4</w:t>
        </w:r>
      </w:hyperlink>
      <w:r>
        <w:t xml:space="preserve">,</w:t>
      </w:r>
      <w:r>
        <w:t xml:space="preserve"> должны быть подготовлены отдельно по</w:t>
      </w:r>
      <w:r>
        <w:t xml:space="preserve"> </w:t>
      </w:r>
      <w:r>
        <w:t xml:space="preserve">каждому из лотов с указанием номера и названия лота.</w:t>
      </w:r>
      <w:r/>
    </w:p>
    <w:p>
      <w:pPr>
        <w:pStyle w:val="1069"/>
      </w:pPr>
      <w:r>
        <w:t xml:space="preserve">Решения, принимаемые в ходе процедуры закупки, в том числе </w:t>
      </w:r>
      <w:r>
        <w:t xml:space="preserve">решения в рамках </w:t>
      </w:r>
      <w:r>
        <w:t xml:space="preserve">рассмотрени</w:t>
      </w:r>
      <w:r>
        <w:t xml:space="preserve">я,</w:t>
      </w:r>
      <w:r>
        <w:t xml:space="preserve"> оценк</w:t>
      </w:r>
      <w:r>
        <w:t xml:space="preserve">и и сопоставления</w:t>
      </w:r>
      <w:r>
        <w:t xml:space="preserve"> заявок, определени</w:t>
      </w:r>
      <w:r>
        <w:t xml:space="preserve">я</w:t>
      </w:r>
      <w:r>
        <w:t xml:space="preserve"> Победителя, признани</w:t>
      </w:r>
      <w:r>
        <w:t xml:space="preserve">я</w:t>
      </w:r>
      <w:r>
        <w:t xml:space="preserve"> закупки несостоявшейся, отказ</w:t>
      </w:r>
      <w:r>
        <w:t xml:space="preserve">а</w:t>
      </w:r>
      <w:r>
        <w:t xml:space="preserve"> от дальнейшего ее проведения и т.д., осуществляются раздельно и независимо по каждому из</w:t>
      </w:r>
      <w:r>
        <w:t xml:space="preserve"> </w:t>
      </w:r>
      <w:r>
        <w:t xml:space="preserve">лотов. При этом Организатор вправе оформить по</w:t>
      </w:r>
      <w:r>
        <w:t xml:space="preserve"> </w:t>
      </w:r>
      <w:r>
        <w:t xml:space="preserve">каждому лоту отдельный протокол</w:t>
      </w:r>
      <w:r>
        <w:t xml:space="preserve"> закупки</w:t>
      </w:r>
      <w:r>
        <w:t xml:space="preserve"> или сформировать общий по всем лотам протокол</w:t>
      </w:r>
      <w:r>
        <w:t xml:space="preserve"> закупки</w:t>
      </w:r>
      <w:r>
        <w:t xml:space="preserve">, в</w:t>
      </w:r>
      <w:r>
        <w:t xml:space="preserve"> </w:t>
      </w:r>
      <w:r>
        <w:t xml:space="preserve">который в отношении каждого лота вносятся сведения, подлежащие официальному размещению.</w:t>
      </w:r>
      <w:r/>
    </w:p>
    <w:p>
      <w:pPr>
        <w:pStyle w:val="1067"/>
      </w:pPr>
      <w:r/>
      <w:bookmarkStart w:id="206" w:name="_Ref126142429"/>
      <w:r/>
      <w:bookmarkStart w:id="207" w:name="_Ref130224037"/>
      <w:r/>
      <w:bookmarkStart w:id="208" w:name="_Toc224744340"/>
      <w:r>
        <w:t xml:space="preserve">П</w:t>
      </w:r>
      <w:r>
        <w:t xml:space="preserve">орядок заключения </w:t>
      </w:r>
      <w:r>
        <w:t xml:space="preserve">Д</w:t>
      </w:r>
      <w:r>
        <w:t xml:space="preserve">оговора</w:t>
      </w:r>
      <w:bookmarkEnd w:id="191"/>
      <w:r/>
      <w:bookmarkEnd w:id="192"/>
      <w:r/>
      <w:bookmarkEnd w:id="193"/>
      <w:r/>
      <w:bookmarkEnd w:id="194"/>
      <w:r/>
      <w:bookmarkEnd w:id="195"/>
      <w:r/>
      <w:bookmarkEnd w:id="196"/>
      <w:r/>
      <w:bookmarkEnd w:id="206"/>
      <w:r/>
      <w:bookmarkEnd w:id="207"/>
      <w:r/>
      <w:bookmarkEnd w:id="208"/>
      <w:r/>
      <w:r/>
    </w:p>
    <w:p>
      <w:pPr>
        <w:pStyle w:val="1068"/>
      </w:pPr>
      <w:r/>
      <w:bookmarkStart w:id="209" w:name="_Ref139028625"/>
      <w:r/>
      <w:bookmarkStart w:id="210" w:name="_Toc224744341"/>
      <w:r/>
      <w:bookmarkStart w:id="211" w:name="_Ref125366947"/>
      <w:r/>
      <w:bookmarkStart w:id="212" w:name="_Ref125368755"/>
      <w:r/>
      <w:bookmarkStart w:id="213" w:name="_Ref135736094"/>
      <w:r>
        <w:t xml:space="preserve">Общие положения</w:t>
      </w:r>
      <w:bookmarkEnd w:id="209"/>
      <w:r/>
      <w:bookmarkEnd w:id="210"/>
      <w:r/>
      <w:r/>
    </w:p>
    <w:p>
      <w:pPr>
        <w:pStyle w:val="1069"/>
      </w:pPr>
      <w:r>
        <w:t xml:space="preserve">Нормы настоящего раздела</w:t>
      </w:r>
      <w:r>
        <w:t xml:space="preserve"> </w:t>
      </w:r>
      <w:r>
        <w:fldChar w:fldCharType="begin"/>
      </w:r>
      <w:r>
        <w:instrText xml:space="preserve"> REF _Ref126142429 \r \h </w:instrText>
      </w:r>
      <w:r>
        <w:fldChar w:fldCharType="separate"/>
      </w:r>
      <w:r>
        <w:t xml:space="preserve">5</w:t>
      </w:r>
      <w:r>
        <w:fldChar w:fldCharType="end"/>
      </w:r>
      <w:r>
        <w:t xml:space="preserve"> также применяются </w:t>
      </w:r>
      <w:r>
        <w:t xml:space="preserve">в отношении </w:t>
      </w:r>
      <w:r>
        <w:t xml:space="preserve">Е</w:t>
      </w:r>
      <w:r>
        <w:t xml:space="preserve">динственного </w:t>
      </w:r>
      <w:r>
        <w:t xml:space="preserve">у</w:t>
      </w:r>
      <w:r>
        <w:t xml:space="preserve">частника несостоявшейся закупки, с которым принято решение о заключении договора</w:t>
      </w:r>
      <w:r>
        <w:t xml:space="preserve"> (к нему применяются те же нормы, что и в</w:t>
      </w:r>
      <w:r>
        <w:t xml:space="preserve"> </w:t>
      </w:r>
      <w:r>
        <w:t xml:space="preserve">отношении Победителя).</w:t>
      </w:r>
      <w:r/>
    </w:p>
    <w:p>
      <w:pPr>
        <w:pStyle w:val="1068"/>
      </w:pPr>
      <w:r/>
      <w:bookmarkStart w:id="214" w:name="_Ref138232981"/>
      <w:r/>
      <w:bookmarkStart w:id="215" w:name="_Toc224744342"/>
      <w:r>
        <w:t xml:space="preserve">Заключение Договора</w:t>
      </w:r>
      <w:bookmarkEnd w:id="211"/>
      <w:r/>
      <w:bookmarkEnd w:id="212"/>
      <w:r/>
      <w:bookmarkEnd w:id="213"/>
      <w:r/>
      <w:bookmarkEnd w:id="214"/>
      <w:r/>
      <w:bookmarkEnd w:id="215"/>
      <w:r/>
      <w:r/>
    </w:p>
    <w:p>
      <w:pPr>
        <w:pStyle w:val="1069"/>
      </w:pPr>
      <w:r/>
      <w:bookmarkStart w:id="216" w:name="_Ref125362935"/>
      <w:r/>
      <w:bookmarkStart w:id="217" w:name="_Ref130293821"/>
      <w:r>
        <w:t xml:space="preserve">Договор между Заказчиком и Победителем заключается не ранее чем через 10</w:t>
      </w:r>
      <w:r>
        <w:t xml:space="preserve"> </w:t>
      </w:r>
      <w:r>
        <w:t xml:space="preserve">(десять) календарных дней и не позднее чем через 20</w:t>
      </w:r>
      <w:r>
        <w:t xml:space="preserve"> </w:t>
      </w:r>
      <w:r>
        <w:t xml:space="preserve">(двадцать) календарных дней с даты официального размещения итогового протокола по</w:t>
      </w:r>
      <w:r>
        <w:t xml:space="preserve"> </w:t>
      </w:r>
      <w:r>
        <w:t xml:space="preserve">результатам закупки.</w:t>
      </w:r>
      <w:bookmarkEnd w:id="216"/>
      <w:r/>
      <w:bookmarkEnd w:id="217"/>
      <w:r/>
      <w:r/>
    </w:p>
    <w:p>
      <w:pPr>
        <w:pStyle w:val="1069"/>
      </w:pPr>
      <w:r>
        <w:t xml:space="preserve">Договор не может быть заключен, если это запрещено законодательством о</w:t>
      </w:r>
      <w:r>
        <w:t xml:space="preserve"> </w:t>
      </w:r>
      <w:r>
        <w:t xml:space="preserve">национальном режиме.</w:t>
      </w:r>
      <w:r/>
    </w:p>
    <w:p>
      <w:pPr>
        <w:pStyle w:val="1069"/>
      </w:pPr>
      <w:r/>
      <w:bookmarkStart w:id="218" w:name="_Hlk207818000"/>
      <w:r/>
      <w:bookmarkStart w:id="219" w:name="_Ref125363464"/>
      <w:r>
        <w:t xml:space="preserve">При осуществлении закупки товара (в том числе поставляемого Заказчику при</w:t>
      </w:r>
      <w:r>
        <w:t xml:space="preserve"> </w:t>
      </w:r>
      <w:r>
        <w:t xml:space="preserve">выполнении работ, оказании услуг) в Договор при его заключении включается информация о стране происхождения товара.</w:t>
      </w:r>
      <w:r/>
    </w:p>
    <w:p>
      <w:pPr>
        <w:pStyle w:val="1069"/>
      </w:pPr>
      <w:r>
        <w:t xml:space="preserve">В целях </w:t>
      </w:r>
      <w:r>
        <w:rPr>
          <w:rFonts w:eastAsia="Calibri" w:cs="Times New Roman"/>
        </w:rPr>
        <w:t xml:space="preserve">обеспечения дополнительной прозрачности финансово-хозяйственной деятельности сторон при</w:t>
      </w:r>
      <w:r>
        <w:t xml:space="preserve"> заключения Договора </w:t>
      </w:r>
      <w:r>
        <w:rPr>
          <w:rFonts w:eastAsia="Calibri" w:cs="Times New Roman"/>
        </w:rPr>
        <w:t xml:space="preserve">в части отсутствия возможного конфликта интересов между Заказчиком и</w:t>
      </w:r>
      <w:r>
        <w:t xml:space="preserve"> Участником, признанным Победителем, последний обязан направить в адрес Заказчика Справку «Сведения о цепочке собственников, включая бенефициаров (в том числе конечных)», по форме в соответствии с </w:t>
      </w:r>
      <w:hyperlink w:tooltip="#Прил05_ФормыПобедителя" w:anchor="Прил05_ФормыПобедителя" w:history="1">
        <w:r>
          <w:rPr>
            <w:rStyle w:val="1097"/>
          </w:rPr>
          <w:t xml:space="preserve">Приложением № 5</w:t>
        </w:r>
      </w:hyperlink>
      <w:r>
        <w:t xml:space="preserve">, с приложением подтверждающих документов согласно перечню, установленному в Приложении 1 к указанной справке, одним из способов (на выбор)</w:t>
      </w:r>
      <w:r>
        <w:t xml:space="preserve">:</w:t>
      </w:r>
      <w:r/>
    </w:p>
    <w:p>
      <w:pPr>
        <w:pStyle w:val="1070"/>
      </w:pPr>
      <w:r>
        <w:t xml:space="preserve">в бумажной форме: по адресу, определенному в подразделе</w:t>
      </w:r>
      <w:r>
        <w:t xml:space="preserve"> </w:t>
      </w:r>
      <w:r>
        <w:fldChar w:fldCharType="begin"/>
      </w:r>
      <w:r>
        <w:instrText xml:space="preserve"> REF _Ref125359973 \r \h </w:instrText>
      </w:r>
      <w:r>
        <w:fldChar w:fldCharType="separate"/>
      </w:r>
      <w:r>
        <w:t xml:space="preserve">1.2</w:t>
      </w:r>
      <w:r>
        <w:fldChar w:fldCharType="end"/>
      </w:r>
      <w:r>
        <w:t xml:space="preserve"> как место подачи документов в отношении цепочки собственников, включая конечных бенефициаров (в срок не позднее 3</w:t>
      </w:r>
      <w:r>
        <w:t xml:space="preserve"> </w:t>
      </w:r>
      <w:r>
        <w:t xml:space="preserve">(трех) рабочих дней с даты официального размещения Организатором итогового протокола по</w:t>
      </w:r>
      <w:r>
        <w:t xml:space="preserve"> </w:t>
      </w:r>
      <w:r>
        <w:t xml:space="preserve">результатам закупки). Требуемые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w:t>
      </w:r>
      <w:bookmarkEnd w:id="218"/>
      <w:r/>
      <w:r/>
    </w:p>
    <w:p>
      <w:pPr>
        <w:pStyle w:val="1070"/>
      </w:pPr>
      <w:r>
        <w:t xml:space="preserve">в электронной форме: через специально созданную на корпоративном сайте ПАО «РусГидро» учетную запись Победителя </w:t>
      </w:r>
      <w:r>
        <w:rPr>
          <w:rFonts w:eastAsia="Calibri" w:cs="Times New Roman"/>
        </w:rPr>
        <w:t xml:space="preserve">в «Личном кабинете контрагента»</w:t>
      </w:r>
      <w:r>
        <w:t xml:space="preserve"> (в срок не позднее 3 (трех) рабочих дней с даты получения уведомления о необходимости предоставить информацию о </w:t>
      </w:r>
      <w:r>
        <w:rPr>
          <w:rFonts w:eastAsia="Calibri" w:cs="Times New Roman"/>
        </w:rPr>
        <w:t xml:space="preserve">цепочке собственников, включая бенефициаров (в том числе конечных)</w:t>
      </w:r>
      <w:r>
        <w:t xml:space="preserve">. Уведомление (со ссылкой на учетную запись) направляется на указанный в заявке Победителя (в Анкете Участника (форма 5) (</w:t>
      </w:r>
      <w:hyperlink w:tooltip="#Прил04_ФормыЗаявки" w:anchor="Прил04_ФормыЗаявки" w:history="1">
        <w:r>
          <w:rPr>
            <w:rStyle w:val="1097"/>
          </w:rPr>
          <w:t xml:space="preserve">Приложения № 4</w:t>
        </w:r>
      </w:hyperlink>
      <w:r>
        <w:t xml:space="preserve">)) адрес электронной почты ответственного лица)</w:t>
      </w:r>
      <w:r>
        <w:t xml:space="preserve">.</w:t>
      </w:r>
      <w:bookmarkEnd w:id="219"/>
      <w:r/>
      <w:r/>
    </w:p>
    <w:p>
      <w:pPr>
        <w:pStyle w:val="1069"/>
      </w:pPr>
      <w:r>
        <w:t xml:space="preserve">В срок не позднее 3</w:t>
      </w:r>
      <w:r>
        <w:t xml:space="preserve"> </w:t>
      </w:r>
      <w:r>
        <w:t xml:space="preserve">(трех) рабочих дней с даты официального размещения Организатором итогового протокола по результатам закупки, Победитель обязан предоставить Заказчику</w:t>
      </w:r>
      <w:r>
        <w:t xml:space="preserve"> </w:t>
      </w:r>
      <w:r>
        <w:t xml:space="preserve">(скан-копия в формате </w:t>
      </w:r>
      <w:bookmarkStart w:id="220" w:name="_Hlk207818034"/>
      <w:r>
        <w:t xml:space="preserve">Portable Document Format (</w:t>
      </w:r>
      <w:r>
        <w:rPr>
          <w:lang w:val="en-US"/>
        </w:rPr>
        <w:t xml:space="preserve">pdf</w:t>
      </w:r>
      <w:r>
        <w:t xml:space="preserve">)</w:t>
      </w:r>
      <w:bookmarkEnd w:id="220"/>
      <w:r>
        <w:t xml:space="preserve">) </w:t>
      </w:r>
      <w:r>
        <w:t xml:space="preserve">Заверение об</w:t>
      </w:r>
      <w:r>
        <w:t xml:space="preserve"> </w:t>
      </w:r>
      <w:r>
        <w:t xml:space="preserve">обстоятельствах, </w:t>
      </w:r>
      <w:r>
        <w:t xml:space="preserve">представляющее </w:t>
      </w:r>
      <w:r>
        <w:t xml:space="preserve">собой гарантийное письмо об отсутствии обстоятельств, </w:t>
      </w:r>
      <w:r>
        <w:t xml:space="preserve">препятствующих заключению Договора, в случаях и по форме, предусмотренных </w:t>
      </w:r>
      <w:hyperlink w:tooltip="#Прил05_ФормыПобедителя" w:anchor="Прил05_ФормыПобедителя" w:history="1">
        <w:r>
          <w:rPr>
            <w:rStyle w:val="1097"/>
          </w:rPr>
          <w:t xml:space="preserve">Приложением № 5</w:t>
        </w:r>
      </w:hyperlink>
      <w:r>
        <w:t xml:space="preserve">.</w:t>
      </w:r>
      <w:r/>
    </w:p>
    <w:p>
      <w:pPr>
        <w:pStyle w:val="1069"/>
        <w:keepNext/>
      </w:pPr>
      <w:r/>
      <w:bookmarkStart w:id="221" w:name="_Ref125551072"/>
      <w:r>
        <w:t xml:space="preserve">П</w:t>
      </w:r>
      <w:r>
        <w:t xml:space="preserve">еред заключением Договора</w:t>
      </w:r>
      <w:r>
        <w:t xml:space="preserve"> </w:t>
      </w:r>
      <w:r>
        <w:t xml:space="preserve">Победитель</w:t>
      </w:r>
      <w:r>
        <w:t xml:space="preserve"> обязан предоставить Заказчику</w:t>
      </w:r>
      <w:r>
        <w:t xml:space="preserve">, не позднее сроков, установленных в пункте </w:t>
      </w:r>
      <w:r>
        <w:fldChar w:fldCharType="begin"/>
      </w:r>
      <w:r>
        <w:instrText xml:space="preserve"> REF _Ref130293821 \w \h </w:instrText>
      </w:r>
      <w:r>
        <w:fldChar w:fldCharType="separate"/>
      </w:r>
      <w:r>
        <w:t xml:space="preserve">5.2.1</w:t>
      </w:r>
      <w:r>
        <w:fldChar w:fldCharType="end"/>
      </w:r>
      <w:r>
        <w:t xml:space="preserve">,</w:t>
      </w:r>
      <w:r>
        <w:t xml:space="preserve"> в целях </w:t>
      </w:r>
      <w:r>
        <w:t xml:space="preserve">подтверждения своего соответствия </w:t>
      </w:r>
      <w:r>
        <w:t xml:space="preserve">обязательному </w:t>
      </w:r>
      <w:r>
        <w:t xml:space="preserve">требовани</w:t>
      </w:r>
      <w:r>
        <w:t xml:space="preserve">ю к Участникам</w:t>
      </w:r>
      <w:r>
        <w:t xml:space="preserve">, указанн</w:t>
      </w:r>
      <w:r>
        <w:t xml:space="preserve">о</w:t>
      </w:r>
      <w:r>
        <w:t xml:space="preserve">м</w:t>
      </w:r>
      <w:r>
        <w:t xml:space="preserve">у</w:t>
      </w:r>
      <w:r>
        <w:t xml:space="preserve"> в</w:t>
      </w:r>
      <w:r>
        <w:t xml:space="preserve"> </w:t>
      </w:r>
      <w:r>
        <w:t xml:space="preserve">пункте</w:t>
      </w:r>
      <w:r>
        <w:t xml:space="preserve"> </w:t>
      </w:r>
      <w:r>
        <w:fldChar w:fldCharType="begin"/>
      </w:r>
      <w:r>
        <w:instrText xml:space="preserve"> REF _Ref125552433 \w \h </w:instrText>
      </w:r>
      <w:r>
        <w:instrText xml:space="preserve"> \* MERGEFORMAT </w:instrText>
      </w:r>
      <w:r>
        <w:fldChar w:fldCharType="separate"/>
      </w:r>
      <w:r>
        <w:t xml:space="preserve">1</w:t>
      </w:r>
      <w:r>
        <w:fldChar w:fldCharType="end"/>
      </w:r>
      <w:r>
        <w:t xml:space="preserve"> подраздела</w:t>
      </w:r>
      <w:r>
        <w:t xml:space="preserve"> </w:t>
      </w:r>
      <w:r>
        <w:fldChar w:fldCharType="begin"/>
      </w:r>
      <w:r>
        <w:instrText xml:space="preserve"> REF _Ref125361435 \w \h </w:instrText>
      </w:r>
      <w:r>
        <w:instrText xml:space="preserve"> \* MERGEFORMAT </w:instrText>
      </w:r>
      <w:r>
        <w:fldChar w:fldCharType="separate"/>
      </w:r>
      <w:r>
        <w:t xml:space="preserve">8.2</w:t>
      </w:r>
      <w:r>
        <w:fldChar w:fldCharType="end"/>
      </w:r>
      <w:r>
        <w:t xml:space="preserve"> (</w:t>
      </w:r>
      <w:hyperlink w:tooltip="#Прил03_ТребованияУчастникам" w:anchor="Прил03_ТребованияУчастникам" w:history="1">
        <w:r>
          <w:rPr>
            <w:rStyle w:val="1097"/>
          </w:rPr>
          <w:t xml:space="preserve">Приложение № 3</w:t>
        </w:r>
      </w:hyperlink>
      <w:r>
        <w:t xml:space="preserve">)</w:t>
      </w:r>
      <w:r>
        <w:t xml:space="preserve">, следующие документы</w:t>
      </w:r>
      <w:r>
        <w:t xml:space="preserve"> (скан-копии в формате </w:t>
      </w:r>
      <w:r>
        <w:t xml:space="preserve">Portable Document Format (</w:t>
      </w:r>
      <w:r>
        <w:rPr>
          <w:lang w:val="en-US"/>
        </w:rPr>
        <w:t xml:space="preserve">pdf</w:t>
      </w:r>
      <w:r>
        <w:t xml:space="preserve">)</w:t>
      </w:r>
      <w:r>
        <w:t xml:space="preserve">)</w:t>
      </w:r>
      <w:r>
        <w:t xml:space="preserve">:</w:t>
      </w:r>
      <w:bookmarkEnd w:id="221"/>
      <w:r/>
      <w:r/>
    </w:p>
    <w:p>
      <w:pPr>
        <w:pStyle w:val="1070"/>
        <w:keepNext/>
      </w:pPr>
      <w:r>
        <w:t xml:space="preserve">для юридического лица:</w:t>
      </w:r>
      <w:r/>
    </w:p>
    <w:p>
      <w:pPr>
        <w:pStyle w:val="1071"/>
      </w:pPr>
      <w:r>
        <w:t xml:space="preserve">к</w:t>
      </w:r>
      <w:r>
        <w:t xml:space="preserve">опия </w:t>
      </w:r>
      <w:r>
        <w:t xml:space="preserve">у</w:t>
      </w:r>
      <w:r>
        <w:t xml:space="preserve">става в действующей редакции с отметкой</w:t>
      </w:r>
      <w:r>
        <w:t xml:space="preserve"> ИФНС либо копия нотариально заверенного </w:t>
      </w:r>
      <w:r>
        <w:t xml:space="preserve">у</w:t>
      </w:r>
      <w:r>
        <w:t xml:space="preserve">става (с отметкой нотариуса);</w:t>
      </w:r>
      <w:r/>
    </w:p>
    <w:p>
      <w:pPr>
        <w:pStyle w:val="1071"/>
      </w:pPr>
      <w:r/>
      <w:bookmarkStart w:id="222" w:name="_Ref125638686"/>
      <w:r>
        <w:t xml:space="preserve">к</w:t>
      </w:r>
      <w:r>
        <w:t xml:space="preserve">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w:t>
      </w:r>
      <w:r>
        <w:t xml:space="preserve"> </w:t>
      </w:r>
      <w:r>
        <w:t xml:space="preserve">передаче полномочий Управляющей компании), заверенные Победителем;</w:t>
      </w:r>
      <w:bookmarkEnd w:id="222"/>
      <w:r/>
      <w:r/>
    </w:p>
    <w:p>
      <w:pPr>
        <w:pStyle w:val="1071"/>
      </w:pPr>
      <w:r>
        <w:t xml:space="preserve">дополнительно предоставляется машиночитаемая доверенность (посредством информационных систем, на которых проводится закупка) на физическое лицо, которое подписывает договор</w:t>
      </w:r>
      <w:r>
        <w:t xml:space="preserve">;</w:t>
      </w:r>
      <w:r/>
    </w:p>
    <w:p>
      <w:pPr>
        <w:pStyle w:val="1070"/>
      </w:pPr>
      <w:r>
        <w:t xml:space="preserve">для лиц</w:t>
      </w:r>
      <w:r>
        <w:t xml:space="preserve">а</w:t>
      </w:r>
      <w:r>
        <w:t xml:space="preserve">,</w:t>
      </w:r>
      <w:r>
        <w:t xml:space="preserve"> </w:t>
      </w:r>
      <w:r>
        <w:t xml:space="preserve">зарегистрированн</w:t>
      </w:r>
      <w:r>
        <w:t xml:space="preserve">ого</w:t>
      </w:r>
      <w:r>
        <w:t xml:space="preserve"> вне Российской Федерации</w:t>
      </w:r>
      <w:r>
        <w:t xml:space="preserve">:</w:t>
      </w:r>
      <w:r>
        <w:t xml:space="preserve"> </w:t>
      </w:r>
      <w:r>
        <w:t xml:space="preserve">в</w:t>
      </w:r>
      <w:r>
        <w:t xml:space="preserve">ыписк</w:t>
      </w:r>
      <w:r>
        <w:t xml:space="preserve">а</w:t>
      </w:r>
      <w:r>
        <w:t xml:space="preserve"> из</w:t>
      </w:r>
      <w:r>
        <w:t xml:space="preserve"> </w:t>
      </w:r>
      <w:r>
        <w:t xml:space="preserve">торгового реестра страны регистрации иностранного Участника;</w:t>
      </w:r>
      <w:r/>
    </w:p>
    <w:p>
      <w:pPr>
        <w:pStyle w:val="1070"/>
      </w:pPr>
      <w:r>
        <w:t xml:space="preserve">д</w:t>
      </w:r>
      <w:r>
        <w:t xml:space="preserve">ля физическ</w:t>
      </w:r>
      <w:r>
        <w:t xml:space="preserve">ого</w:t>
      </w:r>
      <w:r>
        <w:t xml:space="preserve"> лиц</w:t>
      </w:r>
      <w:r>
        <w:t xml:space="preserve">а:</w:t>
      </w:r>
      <w:r>
        <w:t xml:space="preserve"> нотариально заверенная копия всех страниц документа, удостоверяющего личность (паспорта)</w:t>
      </w:r>
      <w:r>
        <w:t xml:space="preserve">.</w:t>
      </w:r>
      <w:r/>
    </w:p>
    <w:p>
      <w:pPr>
        <w:pStyle w:val="1069"/>
      </w:pPr>
      <w:r>
        <w:t xml:space="preserve">Е</w:t>
      </w:r>
      <w:r>
        <w:t xml:space="preserve">сли в соответствии с законодательством</w:t>
      </w:r>
      <w:r>
        <w:t xml:space="preserve"> и </w:t>
      </w:r>
      <w:r>
        <w:t xml:space="preserve">у</w:t>
      </w:r>
      <w:r>
        <w:t xml:space="preserve">ставом Заказчика потребуется предварительное одобрение заключаемого на</w:t>
      </w:r>
      <w:r>
        <w:t xml:space="preserve"> </w:t>
      </w:r>
      <w:r>
        <w:t xml:space="preserve">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w:t>
      </w:r>
      <w:r>
        <w:t xml:space="preserve"> </w:t>
      </w:r>
      <w:r>
        <w:t xml:space="preserve">(пять) календарных дней с</w:t>
      </w:r>
      <w:r>
        <w:t xml:space="preserve"> </w:t>
      </w:r>
      <w:r>
        <w:t xml:space="preserve">даты указанного одобрения.</w:t>
      </w:r>
      <w:r/>
    </w:p>
    <w:p>
      <w:pPr>
        <w:pStyle w:val="1069"/>
      </w:pPr>
      <w:r>
        <w:t xml:space="preserve">В случае обжалования в антимонопольном органе результатов закупки Договор заключается не позднее чем через 5</w:t>
      </w:r>
      <w:r>
        <w:t xml:space="preserve"> </w:t>
      </w:r>
      <w:r>
        <w:t xml:space="preserve">(пять) календарных дней с даты вынесения решения антимонопольного органа по результатам такого обжалования</w:t>
      </w:r>
      <w:r>
        <w:t xml:space="preserve"> (за исключением случая возврата на предыдущий этап закупки)</w:t>
      </w:r>
      <w:r>
        <w:t xml:space="preserve">.</w:t>
      </w:r>
      <w:r/>
    </w:p>
    <w:p>
      <w:pPr>
        <w:pStyle w:val="1069"/>
        <w:keepNext/>
      </w:pPr>
      <w:r/>
      <w:bookmarkStart w:id="223" w:name="_Ref132288402"/>
      <w:r>
        <w:t xml:space="preserve">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223"/>
      <w:r/>
      <w:r/>
    </w:p>
    <w:p>
      <w:pPr>
        <w:pStyle w:val="1070"/>
      </w:pPr>
      <w:r>
        <w:t xml:space="preserve">итоговый протокол по результатам закупки;</w:t>
      </w:r>
      <w:r/>
    </w:p>
    <w:p>
      <w:pPr>
        <w:pStyle w:val="1070"/>
      </w:pPr>
      <w:r>
        <w:t xml:space="preserve">Извещение и Документация о закупке со всеми изменениями;</w:t>
      </w:r>
      <w:r/>
    </w:p>
    <w:p>
      <w:pPr>
        <w:pStyle w:val="1070"/>
      </w:pPr>
      <w:r>
        <w:t xml:space="preserve">заявка Победителя со всеми дополнениями и разъяснениями.</w:t>
      </w:r>
      <w:r/>
    </w:p>
    <w:p>
      <w:pPr>
        <w:pStyle w:val="1069"/>
      </w:pPr>
      <w:r>
        <w:t xml:space="preserve">Договор согласовывается и заключается с использованием функционала ЭП, в том числе подписывается усиленной квалифицированной электронной подписью уполномоченного лица Победителя и Заказчика соответственно.</w:t>
      </w:r>
      <w:r/>
    </w:p>
    <w:p>
      <w:pPr>
        <w:pStyle w:val="1069"/>
      </w:pPr>
      <w:r>
        <w:t xml:space="preserve">В течение установленного в пункте </w:t>
      </w:r>
      <w:r>
        <w:fldChar w:fldCharType="begin"/>
      </w:r>
      <w:r>
        <w:instrText xml:space="preserve"> REF _Ref125362935 \n \h </w:instrText>
      </w:r>
      <w:r>
        <w:fldChar w:fldCharType="separate"/>
      </w:r>
      <w:r>
        <w:t xml:space="preserve">5.2.1</w:t>
      </w:r>
      <w:r>
        <w:fldChar w:fldCharType="end"/>
      </w:r>
      <w:r>
        <w:t xml:space="preserve"> срока Заказчик с использованием функционала ЭП направляет в адрес Победителя заполненный со своей стороны проект Договора.</w:t>
      </w:r>
      <w:r/>
    </w:p>
    <w:p>
      <w:pPr>
        <w:pStyle w:val="1069"/>
      </w:pPr>
      <w:r/>
      <w:bookmarkStart w:id="224" w:name="_Ref149317795"/>
      <w:r>
        <w:t xml:space="preserve">В</w:t>
      </w:r>
      <w:r>
        <w:t xml:space="preserve"> случае наличия у Победителя разногласий по направленному Заказчиком проекту Договора, Победитель составляет Протокол разногласий с указанием в нем своих замечаний к положениям проекта Договора, не соответствующим условиям настоящей Документации о закупке </w:t>
      </w:r>
      <w:r>
        <w:t xml:space="preserve">и (или) заявке Победителя (с приведением ссылок на конкретные пункты / положения данных документов, которым они не соответствуют). Протокол разногласий направляется Заказчику с использованием функционала ЭП. После рассмотрения указанного протокола разногла</w:t>
      </w:r>
      <w:r>
        <w:t xml:space="preserve">сий Заказчик вправе направить Победителю доработанный проект Договора либо повторно направить исходный проект Договора с указанием в отдельном документе причин отказа учесть полностью или частично замечания, содержащиеся в протоколе разногласий Победителя.</w:t>
      </w:r>
      <w:bookmarkEnd w:id="224"/>
      <w:r/>
      <w:r/>
    </w:p>
    <w:p>
      <w:pPr>
        <w:pStyle w:val="1069"/>
      </w:pPr>
      <w:r>
        <w:t xml:space="preserve">Сведения о заключенном Договоре в течение 3 (трех) рабочих дней со дня заключения такого Договора на ЭП вносятся Оператором ЭП в Реестр договоров в ЕИС (если размещение таких сведений допустимо Законом 223</w:t>
      </w:r>
      <w:r>
        <w:noBreakHyphen/>
        <w:t xml:space="preserve">ФЗ). Если при заключении и исполнении Договора изменятся количество, объем, цена закупаемой продукции или сроки исполнения Договора (по сравнению с указанными в итоговом протоколе по</w:t>
      </w:r>
      <w:r>
        <w:t xml:space="preserve"> результатам закупки), то в течение 10 (десяти) календарных дней со дня внесения таких изменений в Договор соответствующая информация с указанием измененных условий Договора также размещается в ЕИС (если размещение таких сведений допустимо Законом 223-ФЗ).</w:t>
      </w:r>
      <w:r/>
    </w:p>
    <w:p>
      <w:pPr>
        <w:pStyle w:val="1069"/>
      </w:pPr>
      <w:r>
        <w:t xml:space="preserve">Если до </w:t>
      </w:r>
      <w:r>
        <w:t xml:space="preserve">момента заключения с Договора в отношении Победителя была проведена повторная проверка в рамках мониторинга аккредитованных поставщиков (в соответствии с Положением об аккредитации), и по результатам такой проверки ему присвоен статус «не аккредитован», то</w:t>
      </w:r>
      <w:r>
        <w:t xml:space="preserve"> </w:t>
      </w:r>
      <w:r>
        <w:t xml:space="preserve">он</w:t>
      </w:r>
      <w:r>
        <w:t xml:space="preserve"> </w:t>
      </w:r>
      <w:r>
        <w:t xml:space="preserve">утрачивает статус Победителя, а Закупочная комиссия имеет право выбрать в</w:t>
      </w:r>
      <w:r>
        <w:t xml:space="preserve"> </w:t>
      </w:r>
      <w:r>
        <w:t xml:space="preserve">качестве Победителя иного Участника, занявшего следующее место в</w:t>
      </w:r>
      <w:r>
        <w:t xml:space="preserve"> </w:t>
      </w:r>
      <w:r>
        <w:t xml:space="preserve">ранжировке заявок после Победителя, из числа остальных действующих заявок (при наличии у него статуса «аккредитован» / «аккредитация не</w:t>
      </w:r>
      <w:r>
        <w:t xml:space="preserve"> </w:t>
      </w:r>
      <w:r>
        <w:t xml:space="preserve">требуется»).</w:t>
      </w:r>
      <w:r/>
    </w:p>
    <w:p>
      <w:pPr>
        <w:pStyle w:val="1068"/>
      </w:pPr>
      <w:r/>
      <w:bookmarkStart w:id="225" w:name="_Ref125367068"/>
      <w:r/>
      <w:bookmarkStart w:id="226" w:name="_Toc224744343"/>
      <w:r>
        <w:t xml:space="preserve">Уклонение Победителя от заключения Договора</w:t>
      </w:r>
      <w:bookmarkEnd w:id="225"/>
      <w:r/>
      <w:bookmarkEnd w:id="226"/>
      <w:r/>
      <w:r/>
    </w:p>
    <w:p>
      <w:pPr>
        <w:pStyle w:val="1069"/>
        <w:keepNext/>
      </w:pPr>
      <w:r>
        <w:t xml:space="preserve">Е</w:t>
      </w:r>
      <w:r>
        <w:t xml:space="preserve">сли Победитель закупки:</w:t>
      </w:r>
      <w:r/>
    </w:p>
    <w:p>
      <w:pPr>
        <w:pStyle w:val="1070"/>
      </w:pPr>
      <w:r>
        <w:t xml:space="preserve">не подпишет Договор в установленные Документацией о закупке сроки (пункт</w:t>
      </w:r>
      <w:r>
        <w:t xml:space="preserve"> </w:t>
      </w:r>
      <w:r>
        <w:fldChar w:fldCharType="begin"/>
      </w:r>
      <w:r>
        <w:instrText xml:space="preserve"> REF _Ref130293821 \r \h </w:instrText>
      </w:r>
      <w:r>
        <w:instrText xml:space="preserve"> \* MERGEFORMAT </w:instrText>
      </w:r>
      <w:r>
        <w:fldChar w:fldCharType="separate"/>
      </w:r>
      <w:r>
        <w:t xml:space="preserve">5.2.1</w:t>
      </w:r>
      <w:r>
        <w:fldChar w:fldCharType="end"/>
      </w:r>
      <w:r>
        <w:t xml:space="preserve">);</w:t>
      </w:r>
      <w:r/>
    </w:p>
    <w:p>
      <w:pPr>
        <w:pStyle w:val="1070"/>
      </w:pPr>
      <w:r>
        <w:t xml:space="preserve">откажется от подписания Договора на условиях, определяемых в</w:t>
      </w:r>
      <w:r>
        <w:t xml:space="preserve"> </w:t>
      </w:r>
      <w:r>
        <w:t xml:space="preserve">соответствии </w:t>
      </w:r>
      <w:r>
        <w:t xml:space="preserve">с пунктом </w:t>
      </w:r>
      <w:r>
        <w:fldChar w:fldCharType="begin"/>
      </w:r>
      <w:r>
        <w:instrText xml:space="preserve"> REF _Ref132288402 \r \h </w:instrText>
      </w:r>
      <w:r>
        <w:instrText xml:space="preserve"> \* MERGEFORMAT </w:instrText>
      </w:r>
      <w:r>
        <w:fldChar w:fldCharType="separate"/>
      </w:r>
      <w:r>
        <w:t xml:space="preserve">5.2.9</w:t>
      </w:r>
      <w:r>
        <w:fldChar w:fldCharType="end"/>
      </w:r>
      <w:r>
        <w:t xml:space="preserve">;</w:t>
      </w:r>
      <w:r/>
    </w:p>
    <w:p>
      <w:pPr>
        <w:pStyle w:val="1070"/>
      </w:pPr>
      <w:r>
        <w:t xml:space="preserve">не раскроет информацию в отношении всей цепочки собственников, включая бенефициаров (в том числе конечных), по установленной форме (</w:t>
      </w:r>
      <w:hyperlink w:tooltip="#Прил05_ФормыПобедителя" w:anchor="Прил05_ФормыПобедителя" w:history="1">
        <w:r>
          <w:rPr>
            <w:rStyle w:val="1097"/>
          </w:rPr>
          <w:t xml:space="preserve">Приложение № </w:t>
        </w:r>
        <w:r>
          <w:rPr>
            <w:rStyle w:val="1097"/>
          </w:rPr>
          <w:t xml:space="preserve">5</w:t>
        </w:r>
      </w:hyperlink>
      <w:r>
        <w:t xml:space="preserve">), с приложением подтверждающих документов;</w:t>
      </w:r>
      <w:r/>
    </w:p>
    <w:p>
      <w:pPr>
        <w:pStyle w:val="1070"/>
      </w:pPr>
      <w:r>
        <w:t xml:space="preserve">не предоставит Заверение об обстоятельствах, </w:t>
      </w:r>
      <w:r>
        <w:t xml:space="preserve">представляющ</w:t>
      </w:r>
      <w:r>
        <w:t xml:space="preserve">е</w:t>
      </w:r>
      <w:r>
        <w:t xml:space="preserve">е </w:t>
      </w:r>
      <w:r>
        <w:t xml:space="preserve">собой гарантийное письмо об отсутствии обстоятельств, препятствующих заключению Договора, в случаях и по форме, предусмотренных </w:t>
      </w:r>
      <w:hyperlink w:tooltip="#Прил05_ФормыПобедителя" w:anchor="Прил05_ФормыПобедителя" w:history="1">
        <w:r>
          <w:rPr>
            <w:rStyle w:val="1097"/>
          </w:rPr>
          <w:t xml:space="preserve">Приложением № </w:t>
        </w:r>
        <w:r>
          <w:rPr>
            <w:rStyle w:val="1097"/>
          </w:rPr>
          <w:t xml:space="preserve">5</w:t>
        </w:r>
      </w:hyperlink>
      <w:r>
        <w:t xml:space="preserve">;</w:t>
      </w:r>
      <w:r/>
    </w:p>
    <w:p>
      <w:pPr>
        <w:pStyle w:val="1070"/>
      </w:pPr>
      <w:r>
        <w:t xml:space="preserve">не предоставит копии документов, обязательных</w:t>
      </w:r>
      <w:r>
        <w:t xml:space="preserve"> к предоставлению Победителем закупки в соответствии с требованиями </w:t>
      </w:r>
      <w:hyperlink w:tooltip="#Прил01_ТехТребования" w:anchor="Прил01_ТехТребования" w:history="1">
        <w:r>
          <w:rPr>
            <w:rStyle w:val="1097"/>
          </w:rPr>
          <w:t xml:space="preserve">Приложения №</w:t>
        </w:r>
        <w:r>
          <w:rPr>
            <w:rStyle w:val="1097"/>
          </w:rPr>
          <w:t xml:space="preserve"> </w:t>
        </w:r>
        <w:r>
          <w:rPr>
            <w:rStyle w:val="1097"/>
          </w:rPr>
          <w:t xml:space="preserve">1 </w:t>
        </w:r>
        <w:r>
          <w:rPr>
            <w:rStyle w:val="1097"/>
          </w:rPr>
          <w:t xml:space="preserve">– </w:t>
        </w:r>
        <w:r>
          <w:rPr>
            <w:rStyle w:val="1097"/>
          </w:rPr>
          <w:t xml:space="preserve">Технические требования</w:t>
        </w:r>
      </w:hyperlink>
      <w:r>
        <w:t xml:space="preserve"> (в случае установления таковых);</w:t>
      </w:r>
      <w:r/>
    </w:p>
    <w:p>
      <w:pPr>
        <w:pStyle w:val="1070"/>
      </w:pPr>
      <w:r>
        <w:t xml:space="preserve">не предоставит обеспечение исполнения договора</w:t>
      </w:r>
      <w:r>
        <w:t xml:space="preserve"> до момента его заключения, если</w:t>
      </w:r>
      <w:r>
        <w:t xml:space="preserve"> Документация о закупке</w:t>
      </w:r>
      <w:r>
        <w:t xml:space="preserve"> предусматривает обеспечение исполнения договора с соответствующими обязательствами</w:t>
      </w:r>
      <w:r>
        <w:t xml:space="preserve">;</w:t>
      </w:r>
      <w:r/>
    </w:p>
    <w:p>
      <w:pPr>
        <w:pStyle w:val="1070"/>
      </w:pPr>
      <w:r>
        <w:t xml:space="preserve">не выполнит другие условия, прямо предусмотренные Документацией о</w:t>
      </w:r>
      <w:r>
        <w:t xml:space="preserve"> </w:t>
      </w:r>
      <w:r>
        <w:t xml:space="preserve">закупке,</w:t>
      </w:r>
      <w:r/>
    </w:p>
    <w:p>
      <w:pPr>
        <w:pStyle w:val="1073"/>
        <w:ind w:left="1134"/>
      </w:pPr>
      <w:r>
        <w:t xml:space="preserve">то он</w:t>
      </w:r>
      <w:r>
        <w:t xml:space="preserve"> (</w:t>
      </w:r>
      <w:r>
        <w:t xml:space="preserve">по истечению установленных в подразделе</w:t>
      </w:r>
      <w:r>
        <w:t xml:space="preserve"> </w:t>
      </w:r>
      <w:r>
        <w:fldChar w:fldCharType="begin"/>
      </w:r>
      <w:r>
        <w:instrText xml:space="preserve"> REF _Ref138232981 \r \h </w:instrText>
      </w:r>
      <w:r>
        <w:fldChar w:fldCharType="separate"/>
      </w:r>
      <w:r>
        <w:t xml:space="preserve">5.2</w:t>
      </w:r>
      <w:r>
        <w:fldChar w:fldCharType="end"/>
      </w:r>
      <w:r>
        <w:t xml:space="preserve"> сроков на заключение Договора</w:t>
      </w:r>
      <w:r>
        <w:t xml:space="preserve">)</w:t>
      </w:r>
      <w:r>
        <w:t xml:space="preserve"> признается уклонившимся от заключения Договора и утрачивает статус Победителя, а Закупочная комиссия </w:t>
      </w:r>
      <w:r>
        <w:t xml:space="preserve">имеет право</w:t>
      </w:r>
      <w:r>
        <w:t xml:space="preserve"> выбрать</w:t>
      </w:r>
      <w:r>
        <w:t xml:space="preserve"> в качестве Победителя иного Участника, занявшего следующее место в ранжировке заявок после Победителя, из числа остальных действующих заявок.</w:t>
      </w:r>
      <w:r/>
    </w:p>
    <w:p>
      <w:pPr>
        <w:pStyle w:val="1067"/>
      </w:pPr>
      <w:r/>
      <w:bookmarkStart w:id="227" w:name="_Ref125363016"/>
      <w:r/>
      <w:bookmarkStart w:id="228" w:name="_Ref125363023"/>
      <w:r/>
      <w:bookmarkStart w:id="229" w:name="_Ref125363034"/>
      <w:r/>
      <w:bookmarkStart w:id="230" w:name="_Ref125363600"/>
      <w:r/>
      <w:bookmarkStart w:id="231" w:name="_Ref125363752"/>
      <w:r/>
      <w:bookmarkStart w:id="232" w:name="_Ref125364088"/>
      <w:r/>
      <w:bookmarkStart w:id="233" w:name="_Ref125364201"/>
      <w:r/>
      <w:bookmarkStart w:id="234" w:name="_Ref125370732"/>
      <w:r/>
      <w:bookmarkStart w:id="235" w:name="_Ref125370741"/>
      <w:r/>
      <w:bookmarkStart w:id="236" w:name="_Ref125370746"/>
      <w:r/>
      <w:bookmarkStart w:id="237" w:name="_Ref125370750"/>
      <w:r/>
      <w:bookmarkStart w:id="238" w:name="_Ref125370843"/>
      <w:r/>
      <w:bookmarkStart w:id="239" w:name="Прил01_ТехТребования"/>
      <w:r/>
      <w:bookmarkStart w:id="240" w:name="_Toc224744344"/>
      <w:r>
        <w:t xml:space="preserve">Приложение № 1 – Технические требования</w:t>
      </w:r>
      <w:bookmarkEnd w:id="227"/>
      <w:r/>
      <w:bookmarkEnd w:id="228"/>
      <w:r/>
      <w:bookmarkEnd w:id="229"/>
      <w:r/>
      <w:bookmarkEnd w:id="230"/>
      <w:r/>
      <w:bookmarkEnd w:id="231"/>
      <w:r/>
      <w:bookmarkEnd w:id="232"/>
      <w:r/>
      <w:bookmarkEnd w:id="233"/>
      <w:r/>
      <w:bookmarkEnd w:id="234"/>
      <w:r/>
      <w:bookmarkEnd w:id="235"/>
      <w:r/>
      <w:bookmarkEnd w:id="236"/>
      <w:r/>
      <w:bookmarkEnd w:id="237"/>
      <w:r/>
      <w:bookmarkEnd w:id="238"/>
      <w:r/>
      <w:bookmarkEnd w:id="239"/>
      <w:r/>
      <w:bookmarkEnd w:id="240"/>
      <w:r/>
      <w:r/>
    </w:p>
    <w:p>
      <w:pPr>
        <w:pStyle w:val="1068"/>
      </w:pPr>
      <w:r/>
      <w:bookmarkStart w:id="241" w:name="_Toc224744345"/>
      <w:r>
        <w:t xml:space="preserve">Пояснения к Техническим требованиям</w:t>
      </w:r>
      <w:bookmarkEnd w:id="241"/>
      <w:r/>
      <w:r/>
    </w:p>
    <w:p>
      <w:pPr>
        <w:pStyle w:val="1069"/>
      </w:pPr>
      <w:r>
        <w:t xml:space="preserve">Технические требования к закупаемой продукции приведены в</w:t>
      </w:r>
      <w:r>
        <w:t xml:space="preserve"> отдельном файле </w:t>
      </w:r>
      <w:r>
        <w:t xml:space="preserve">(</w:t>
      </w:r>
      <w:r>
        <w:t xml:space="preserve">предоставляются отдельным документом в составе Документации о закупке</w:t>
      </w:r>
      <w:r>
        <w:t xml:space="preserve">)</w:t>
      </w:r>
      <w:r>
        <w:t xml:space="preserve">, являющимся</w:t>
      </w:r>
      <w:r>
        <w:t xml:space="preserve"> Приложени</w:t>
      </w:r>
      <w:r>
        <w:t xml:space="preserve">ем</w:t>
      </w:r>
      <w:r>
        <w:t xml:space="preserve"> №</w:t>
      </w:r>
      <w:r>
        <w:t xml:space="preserve"> </w:t>
      </w:r>
      <w:r>
        <w:t xml:space="preserve">1 к Документации о закупке.</w:t>
      </w:r>
      <w:r/>
    </w:p>
    <w:p>
      <w:pPr>
        <w:pStyle w:val="1067"/>
      </w:pPr>
      <w:r/>
      <w:bookmarkStart w:id="242" w:name="_Ref125361746"/>
      <w:r/>
      <w:bookmarkStart w:id="243" w:name="_Ref125363040"/>
      <w:r/>
      <w:bookmarkStart w:id="244" w:name="_Ref125363605"/>
      <w:r/>
      <w:bookmarkStart w:id="245" w:name="_Ref125363759"/>
      <w:r/>
      <w:bookmarkStart w:id="246" w:name="_Ref125364081"/>
      <w:r/>
      <w:bookmarkStart w:id="247" w:name="_Ref125364206"/>
      <w:r/>
      <w:bookmarkStart w:id="248" w:name="_Ref125370754"/>
      <w:r/>
      <w:bookmarkStart w:id="249" w:name="Прил02_ПроектДоговора"/>
      <w:r/>
      <w:bookmarkStart w:id="250" w:name="_Toc224744346"/>
      <w:r>
        <w:t xml:space="preserve">Приложение № 2 – Проект договора</w:t>
      </w:r>
      <w:bookmarkEnd w:id="242"/>
      <w:r/>
      <w:bookmarkEnd w:id="243"/>
      <w:r/>
      <w:bookmarkEnd w:id="244"/>
      <w:r/>
      <w:bookmarkEnd w:id="245"/>
      <w:r/>
      <w:bookmarkEnd w:id="246"/>
      <w:r/>
      <w:bookmarkEnd w:id="247"/>
      <w:r/>
      <w:bookmarkEnd w:id="248"/>
      <w:r/>
      <w:bookmarkEnd w:id="249"/>
      <w:r/>
      <w:bookmarkEnd w:id="250"/>
      <w:r/>
      <w:r/>
    </w:p>
    <w:p>
      <w:pPr>
        <w:pStyle w:val="1068"/>
      </w:pPr>
      <w:r/>
      <w:bookmarkStart w:id="251" w:name="_Toc224744347"/>
      <w:r>
        <w:t xml:space="preserve">Пояснения к </w:t>
      </w:r>
      <w:r>
        <w:t xml:space="preserve">П</w:t>
      </w:r>
      <w:r>
        <w:t xml:space="preserve">роекту договора</w:t>
      </w:r>
      <w:bookmarkEnd w:id="251"/>
      <w:r/>
      <w:r/>
    </w:p>
    <w:p>
      <w:pPr>
        <w:pStyle w:val="1069"/>
      </w:pPr>
      <w:r>
        <w:t xml:space="preserve">Проект договора, заключаемого по результатам закупки, </w:t>
      </w:r>
      <w:r>
        <w:t xml:space="preserve">приведен в отдельном файле </w:t>
      </w:r>
      <w:r>
        <w:t xml:space="preserve">(</w:t>
      </w:r>
      <w:r>
        <w:t xml:space="preserve">предоставляется отдельным документом</w:t>
      </w:r>
      <w:r>
        <w:t xml:space="preserve"> </w:t>
      </w:r>
      <w:r>
        <w:t xml:space="preserve">в составе Документации о закупке</w:t>
      </w:r>
      <w:r>
        <w:t xml:space="preserve">)</w:t>
      </w:r>
      <w:r>
        <w:t xml:space="preserve">, являющимся </w:t>
      </w:r>
      <w:r>
        <w:t xml:space="preserve">Приложени</w:t>
      </w:r>
      <w:r>
        <w:t xml:space="preserve">ем</w:t>
      </w:r>
      <w:r>
        <w:t xml:space="preserve"> №</w:t>
      </w:r>
      <w:r>
        <w:t xml:space="preserve"> </w:t>
      </w:r>
      <w:r>
        <w:t xml:space="preserve">2 к Документации о закупке.</w:t>
      </w:r>
      <w:r/>
    </w:p>
    <w:p>
      <w:pPr>
        <w:pStyle w:val="1069"/>
      </w:pPr>
      <w:r>
        <w:t xml:space="preserve">Все положения </w:t>
      </w:r>
      <w:r>
        <w:t xml:space="preserve">П</w:t>
      </w:r>
      <w:r>
        <w:t xml:space="preserve">роекта </w:t>
      </w:r>
      <w:r>
        <w:t xml:space="preserve">д</w:t>
      </w:r>
      <w:r>
        <w:t xml:space="preserve">оговора являются существенными условиями для</w:t>
      </w:r>
      <w:r>
        <w:t xml:space="preserve"> </w:t>
      </w:r>
      <w:r>
        <w:t xml:space="preserve">Заказчика, за исключением пунктов договора, указанных в </w:t>
      </w:r>
      <w:r>
        <w:t xml:space="preserve">подразделе </w:t>
      </w:r>
      <w:r>
        <w:fldChar w:fldCharType="begin"/>
      </w:r>
      <w:r>
        <w:instrText xml:space="preserve"> REF _Ref125359973 \r \h </w:instrText>
      </w:r>
      <w:r>
        <w:fldChar w:fldCharType="separate"/>
      </w:r>
      <w:r>
        <w:t xml:space="preserve">1.2</w:t>
      </w:r>
      <w:r>
        <w:fldChar w:fldCharType="end"/>
      </w:r>
      <w:r>
        <w:t xml:space="preserve"> </w:t>
      </w:r>
      <w:bookmarkStart w:id="252" w:name="_Hlk132883778"/>
      <w:r>
        <w:t xml:space="preserve">как «</w:t>
      </w:r>
      <w:r>
        <w:t xml:space="preserve">Некритичные </w:t>
      </w:r>
      <w:r>
        <w:t xml:space="preserve">пункты</w:t>
      </w:r>
      <w:r>
        <w:t xml:space="preserve"> </w:t>
      </w:r>
      <w:r>
        <w:t xml:space="preserve">П</w:t>
      </w:r>
      <w:r>
        <w:t xml:space="preserve">роекта </w:t>
      </w:r>
      <w:r>
        <w:t xml:space="preserve">д</w:t>
      </w:r>
      <w:r>
        <w:t xml:space="preserve">оговора</w:t>
      </w:r>
      <w:r>
        <w:t xml:space="preserve">»</w:t>
      </w:r>
      <w:bookmarkEnd w:id="252"/>
      <w:r>
        <w:t xml:space="preserve">.</w:t>
      </w:r>
      <w:r/>
    </w:p>
    <w:p>
      <w:pPr>
        <w:pStyle w:val="1069"/>
      </w:pPr>
      <w:r>
        <w:t xml:space="preserve">В соответствии с пунктом</w:t>
      </w:r>
      <w:r>
        <w:t xml:space="preserve"> </w:t>
      </w:r>
      <w:r>
        <w:fldChar w:fldCharType="begin"/>
      </w:r>
      <w:r>
        <w:instrText xml:space="preserve"> REF _Ref149317795 \n \h </w:instrText>
      </w:r>
      <w:r>
        <w:fldChar w:fldCharType="separate"/>
      </w:r>
      <w:r>
        <w:t xml:space="preserve">5.2.12</w:t>
      </w:r>
      <w:r>
        <w:fldChar w:fldCharType="end"/>
      </w:r>
      <w:r>
        <w:t xml:space="preserve"> </w:t>
      </w:r>
      <w:r>
        <w:t xml:space="preserve">Заказчик оставляет за собой право рассмотреть и принять перед подписанием Договора предложения и дополнительные (не</w:t>
      </w:r>
      <w:r>
        <w:t xml:space="preserve"> </w:t>
      </w:r>
      <w:r>
        <w:t xml:space="preserve">носящие принципиального характера) изменения к</w:t>
      </w:r>
      <w:r>
        <w:t xml:space="preserve"> </w:t>
      </w:r>
      <w:r>
        <w:t xml:space="preserve">Договору. </w:t>
      </w:r>
      <w:r>
        <w:t xml:space="preserve">Е</w:t>
      </w:r>
      <w:r>
        <w:t xml:space="preserve">сли Стороны не придут к соглашению об этих изменениях, они будут обязаны подписать Договор на условиях, изложенных в</w:t>
      </w:r>
      <w:r>
        <w:t xml:space="preserve"> </w:t>
      </w:r>
      <w:r>
        <w:t xml:space="preserve">Документации о</w:t>
      </w:r>
      <w:r>
        <w:t xml:space="preserve"> </w:t>
      </w:r>
      <w:r>
        <w:t xml:space="preserve">закупке.</w:t>
      </w:r>
      <w:r/>
    </w:p>
    <w:p>
      <w:pPr>
        <w:pStyle w:val="1069"/>
      </w:pPr>
      <w:r>
        <w:t xml:space="preserve">Одновременно с подписанием Сторонами Договора или не позднее 3</w:t>
      </w:r>
      <w:r>
        <w:t xml:space="preserve"> </w:t>
      </w:r>
      <w:r>
        <w:t xml:space="preserve">(трех) рабочих дней после подписания Договора, Сторонами должно быть подписано дополнительное соглашение, </w:t>
      </w:r>
      <w:r>
        <w:t xml:space="preserve">форма которого </w:t>
      </w:r>
      <w:r>
        <w:t xml:space="preserve">приведена в </w:t>
      </w:r>
      <w:r>
        <w:t xml:space="preserve">отдельном </w:t>
      </w:r>
      <w:r>
        <w:t xml:space="preserve">файле в</w:t>
      </w:r>
      <w:r>
        <w:t xml:space="preserve"> </w:t>
      </w:r>
      <w:r>
        <w:t xml:space="preserve">формате Microsoft Word</w:t>
      </w:r>
      <w:r>
        <w:t xml:space="preserve"> (предоставляется отдельным документом</w:t>
      </w:r>
      <w:r>
        <w:t xml:space="preserve"> </w:t>
      </w:r>
      <w:r>
        <w:t xml:space="preserve">в составе Документации о закупке)</w:t>
      </w:r>
      <w:r>
        <w:t xml:space="preserve">, касающееся вопросов подтверждения Участником информации о цепочке собственников, включая бенефициаров (в том числе конечных)</w:t>
      </w:r>
      <w:r>
        <w:t xml:space="preserve">:</w:t>
      </w:r>
      <w:r/>
    </w:p>
    <w:p>
      <w:pPr>
        <w:pStyle w:val="1073"/>
        <w:jc w:val="center"/>
      </w:pPr>
      <w:r/>
      <w:bookmarkStart w:id="253" w:name="_MON_1736255517"/>
      <w:r/>
      <w:bookmarkEnd w:id="253"/>
      <w:r>
        <mc:AlternateContent>
          <mc:Choice Requires="wpg">
            <w:drawing>
              <wp:inline xmlns:wp="http://schemas.openxmlformats.org/drawingml/2006/wordprocessingDrawing" distT="0" distB="0" distL="0" distR="0">
                <wp:extent cx="1002030" cy="629285"/>
                <wp:effectExtent l="0" t="0" r="0" b="0"/>
                <wp:docPr id="2" name="_x0000_i1"/>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9">
                          <a:extLst>
                            <a:ext uri="{96DAC541-7B7A-43D3-8B79-37D633B846F1}">
                              <asvg:svgBlip xmlns:asvg="http://schemas.microsoft.com/office/drawing/2016/SVG/main" r:embed="rId20"/>
                            </a:ext>
                          </a:extLst>
                        </a:blip>
                        <a:stretch/>
                      </pic:blipFill>
                      <pic:spPr bwMode="auto">
                        <a:xfrm>
                          <a:off x="0" y="0"/>
                          <a:ext cx="1002030" cy="62928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78.90pt;height:49.55pt;mso-wrap-distance-left:0.00pt;mso-wrap-distance-top:0.00pt;mso-wrap-distance-right:0.00pt;mso-wrap-distance-bottom:0.00pt;" stroked="f">
                <v:path textboxrect="0,0,0,0"/>
                <v:imagedata r:id="rId19" o:title=""/>
              </v:shape>
            </w:pict>
          </mc:Fallback>
        </mc:AlternateContent>
      </w:r>
      <w:r/>
    </w:p>
    <w:p>
      <w:pPr>
        <w:pStyle w:val="1073"/>
      </w:pPr>
      <w:r/>
      <w:r/>
    </w:p>
    <w:p>
      <w:pPr>
        <w:pStyle w:val="1073"/>
        <w:sectPr>
          <w:footnotePr/>
          <w:endnotePr/>
          <w:type w:val="nextPage"/>
          <w:pgSz w:w="11906" w:h="16838" w:orient="portrait"/>
          <w:pgMar w:top="851" w:right="850" w:bottom="851" w:left="1134" w:header="567" w:footer="567" w:gutter="0"/>
          <w:cols w:num="1" w:sep="0" w:space="708" w:equalWidth="1"/>
          <w:docGrid w:linePitch="360"/>
        </w:sectPr>
      </w:pPr>
      <w:r/>
      <w:r/>
    </w:p>
    <w:p>
      <w:pPr>
        <w:pStyle w:val="1067"/>
      </w:pPr>
      <w:r/>
      <w:bookmarkStart w:id="254" w:name="_Ref125361494"/>
      <w:r/>
      <w:bookmarkStart w:id="255" w:name="_Ref125361908"/>
      <w:r/>
      <w:bookmarkStart w:id="256" w:name="_Ref125365476"/>
      <w:r/>
      <w:bookmarkStart w:id="257" w:name="_Ref125370013"/>
      <w:r/>
      <w:bookmarkStart w:id="258" w:name="Прил03_ТребованияУчастникам"/>
      <w:r/>
      <w:bookmarkStart w:id="259" w:name="_Toc224744348"/>
      <w:r>
        <w:t xml:space="preserve">Приложение №</w:t>
      </w:r>
      <w:r>
        <w:t xml:space="preserve"> </w:t>
      </w:r>
      <w:r>
        <w:t xml:space="preserve">3 – Требования к </w:t>
      </w:r>
      <w:r>
        <w:t xml:space="preserve">У</w:t>
      </w:r>
      <w:r>
        <w:t xml:space="preserve">частникам</w:t>
      </w:r>
      <w:bookmarkEnd w:id="254"/>
      <w:r/>
      <w:bookmarkEnd w:id="255"/>
      <w:r/>
      <w:bookmarkEnd w:id="256"/>
      <w:r/>
      <w:bookmarkEnd w:id="257"/>
      <w:r/>
      <w:bookmarkEnd w:id="258"/>
      <w:r/>
      <w:bookmarkEnd w:id="259"/>
      <w:r/>
      <w:r/>
    </w:p>
    <w:p>
      <w:pPr>
        <w:pStyle w:val="1068"/>
      </w:pPr>
      <w:r/>
      <w:bookmarkStart w:id="260" w:name="_Toc224744349"/>
      <w:r>
        <w:t xml:space="preserve">Пояснения к </w:t>
      </w:r>
      <w:r>
        <w:t xml:space="preserve">требованиям к </w:t>
      </w:r>
      <w:r>
        <w:t xml:space="preserve">У</w:t>
      </w:r>
      <w:r>
        <w:t xml:space="preserve">частникам</w:t>
      </w:r>
      <w:bookmarkEnd w:id="260"/>
      <w:r/>
      <w:r/>
    </w:p>
    <w:p>
      <w:pPr>
        <w:pStyle w:val="1069"/>
      </w:pPr>
      <w:r/>
      <w:bookmarkStart w:id="261" w:name="_Hlk125628168"/>
      <w:r>
        <w:t xml:space="preserve">Чтобы претендовать на победу в закупке и получение права заключить Договор с Заказчиком, Участник должен отвечать нижеуказанным требованиям и включить в состав заявки документы, подтверждающие его соответствие установленным требованиям</w:t>
      </w:r>
      <w:r>
        <w:t xml:space="preserve">.</w:t>
      </w:r>
      <w:bookmarkEnd w:id="261"/>
      <w:r/>
      <w:r/>
    </w:p>
    <w:p>
      <w:pPr>
        <w:pStyle w:val="1068"/>
        <w:spacing w:after="120"/>
      </w:pPr>
      <w:r/>
      <w:bookmarkStart w:id="262" w:name="_Ref125361435"/>
      <w:r/>
      <w:bookmarkStart w:id="263" w:name="_Ref125361590"/>
      <w:r/>
      <w:bookmarkStart w:id="264" w:name="_Ref125361617"/>
      <w:r/>
      <w:bookmarkStart w:id="265" w:name="_Ref125361832"/>
      <w:r/>
      <w:bookmarkStart w:id="266" w:name="_Ref125361846"/>
      <w:r/>
      <w:bookmarkStart w:id="267" w:name="_Ref125361926"/>
      <w:r/>
      <w:bookmarkStart w:id="268" w:name="_Ref125366879"/>
      <w:r/>
      <w:bookmarkStart w:id="269" w:name="_Ref125368812"/>
      <w:r/>
      <w:bookmarkStart w:id="270" w:name="_Ref125368895"/>
      <w:r/>
      <w:bookmarkStart w:id="271" w:name="_Ref125369088"/>
      <w:r/>
      <w:bookmarkStart w:id="272" w:name="_Ref125370058"/>
      <w:r/>
      <w:bookmarkStart w:id="273" w:name="_Ref125370064"/>
      <w:r/>
      <w:bookmarkStart w:id="274" w:name="_Ref125370071"/>
      <w:r/>
      <w:bookmarkStart w:id="275" w:name="_Toc224744350"/>
      <w:r>
        <w:t xml:space="preserve">Обязательные требования</w:t>
      </w:r>
      <w:bookmarkEnd w:id="262"/>
      <w:r/>
      <w:bookmarkEnd w:id="263"/>
      <w:r/>
      <w:bookmarkEnd w:id="264"/>
      <w:r/>
      <w:bookmarkEnd w:id="265"/>
      <w:r/>
      <w:bookmarkEnd w:id="266"/>
      <w:r/>
      <w:bookmarkEnd w:id="267"/>
      <w:r/>
      <w:bookmarkEnd w:id="268"/>
      <w:r/>
      <w:bookmarkEnd w:id="269"/>
      <w:r/>
      <w:bookmarkEnd w:id="270"/>
      <w:r/>
      <w:bookmarkEnd w:id="271"/>
      <w:r/>
      <w:bookmarkEnd w:id="272"/>
      <w:r/>
      <w:bookmarkEnd w:id="273"/>
      <w:r/>
      <w:bookmarkEnd w:id="274"/>
      <w:r/>
      <w:bookmarkEnd w:id="275"/>
      <w:r/>
      <w:r/>
    </w:p>
    <w:tbl>
      <w:tblPr>
        <w:tblStyle w:val="1094"/>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073"/>
              <w:jc w:val="center"/>
              <w:keepNext w:val="0"/>
            </w:pPr>
            <w:r>
              <w:t xml:space="preserve">№</w:t>
            </w:r>
            <w:r>
              <w:br/>
              <w:t xml:space="preserve">п/п</w:t>
            </w:r>
            <w:r/>
          </w:p>
        </w:tc>
        <w:tc>
          <w:tcPr>
            <w:tcW w:w="5670" w:type="dxa"/>
            <w:textDirection w:val="lrTb"/>
            <w:noWrap w:val="false"/>
          </w:tcPr>
          <w:p>
            <w:pPr>
              <w:pStyle w:val="1073"/>
              <w:jc w:val="center"/>
              <w:keepNext w:val="0"/>
            </w:pPr>
            <w:r>
              <w:t xml:space="preserve">Требования к Участник</w:t>
            </w:r>
            <w:r>
              <w:t xml:space="preserve">у</w:t>
            </w:r>
            <w:r/>
          </w:p>
        </w:tc>
        <w:tc>
          <w:tcPr>
            <w:tcW w:w="8327" w:type="dxa"/>
            <w:textDirection w:val="lrTb"/>
            <w:noWrap w:val="false"/>
          </w:tcPr>
          <w:p>
            <w:pPr>
              <w:pStyle w:val="1073"/>
              <w:jc w:val="center"/>
              <w:keepNext w:val="0"/>
            </w:pPr>
            <w:r>
              <w:t xml:space="preserve">Требования к документам,</w:t>
            </w:r>
            <w:r>
              <w:br/>
            </w:r>
            <w:r>
              <w:t xml:space="preserve">подтверждающим соответствие Участника установленным требованиям</w:t>
            </w:r>
            <w:r/>
          </w:p>
        </w:tc>
      </w:tr>
      <w:tr>
        <w:tblPrEx/>
        <w:trPr/>
        <w:tc>
          <w:tcPr>
            <w:tcW w:w="1129" w:type="dxa"/>
            <w:textDirection w:val="lrTb"/>
            <w:noWrap w:val="false"/>
          </w:tcPr>
          <w:p>
            <w:pPr>
              <w:pStyle w:val="1073"/>
              <w:numPr>
                <w:ilvl w:val="0"/>
                <w:numId w:val="4"/>
              </w:numPr>
              <w:ind w:left="284" w:firstLine="0"/>
              <w:jc w:val="center"/>
            </w:pPr>
            <w:r/>
            <w:bookmarkStart w:id="276" w:name="_Ref125552433"/>
            <w:r/>
            <w:bookmarkEnd w:id="276"/>
            <w:r/>
            <w:r/>
          </w:p>
        </w:tc>
        <w:tc>
          <w:tcPr>
            <w:tcW w:w="5670" w:type="dxa"/>
            <w:textDirection w:val="lrTb"/>
            <w:noWrap w:val="false"/>
          </w:tcPr>
          <w:p>
            <w:pPr>
              <w:pStyle w:val="1073"/>
            </w:pPr>
            <w:r>
              <w:t xml:space="preserve">Участник должен обладать гражданской правоспособностью в полном объеме для</w:t>
            </w:r>
            <w:r>
              <w:t xml:space="preserve"> </w:t>
            </w:r>
            <w:r>
              <w:t xml:space="preserve">заключения и исполнения Договора, </w:t>
            </w:r>
            <w:r>
              <w:t xml:space="preserve">а</w:t>
            </w:r>
            <w:r>
              <w:t xml:space="preserve"> </w:t>
            </w:r>
            <w:r>
              <w:t xml:space="preserve">также должен обладать статусом «аккредитован» в</w:t>
            </w:r>
            <w:r>
              <w:t xml:space="preserve"> </w:t>
            </w:r>
            <w:r>
              <w:t xml:space="preserve">соответствии с</w:t>
            </w:r>
            <w:r>
              <w:t xml:space="preserve"> </w:t>
            </w:r>
            <w:r>
              <w:t xml:space="preserve">Положением об аккредитации, либо являться лицом, указанным в пункте</w:t>
            </w:r>
            <w:r>
              <w:t xml:space="preserve"> </w:t>
            </w:r>
            <w:r>
              <w:t xml:space="preserve">3.11 Положения об аккредитации</w:t>
            </w:r>
            <w:r>
              <w:t xml:space="preserve">:</w:t>
            </w:r>
            <w:r/>
          </w:p>
        </w:tc>
        <w:tc>
          <w:tcPr>
            <w:tcW w:w="8327" w:type="dxa"/>
            <w:textDirection w:val="lrTb"/>
            <w:noWrap w:val="false"/>
          </w:tcPr>
          <w:p>
            <w:pPr>
              <w:pStyle w:val="1073"/>
              <w:numPr>
                <w:ilvl w:val="0"/>
                <w:numId w:val="11"/>
              </w:numPr>
              <w:ind w:left="284" w:hanging="284"/>
            </w:pPr>
            <w:r>
              <w:t xml:space="preserve">В отношении гражданской правоспособности:</w:t>
            </w:r>
            <w:r/>
          </w:p>
          <w:p>
            <w:pPr>
              <w:pStyle w:val="1073"/>
              <w:numPr>
                <w:ilvl w:val="0"/>
                <w:numId w:val="40"/>
              </w:numPr>
              <w:ind w:left="568" w:hanging="284"/>
            </w:pPr>
            <w:r>
              <w:t xml:space="preserve">если заявка подписывается лицом, действующим на основании доверенности, предоставляется электронный образ</w:t>
            </w:r>
            <w:r>
              <w:t xml:space="preserve"> (файл в формате </w:t>
            </w:r>
            <w:r>
              <w:t xml:space="preserve">Portable Document Format (</w:t>
            </w:r>
            <w:r>
              <w:rPr>
                <w:lang w:val="en-US"/>
              </w:rPr>
              <w:t xml:space="preserve">pdf</w:t>
            </w:r>
            <w:r>
              <w:t xml:space="preserve">)</w:t>
            </w:r>
            <w:r>
              <w:t xml:space="preserve">)</w:t>
            </w:r>
            <w:r>
              <w:t xml:space="preserve"> оригинала соответствующей доверенности либо ее нотариально заверенной копии (с</w:t>
            </w:r>
            <w:r>
              <w:t xml:space="preserve"> </w:t>
            </w:r>
            <w:r>
              <w:t xml:space="preserve">указанием правомочий на</w:t>
            </w:r>
            <w:r>
              <w:t xml:space="preserve"> </w:t>
            </w:r>
            <w:r>
              <w:t xml:space="preserve">подписание заявки);</w:t>
            </w:r>
            <w:r/>
          </w:p>
          <w:p>
            <w:pPr>
              <w:pStyle w:val="1073"/>
              <w:numPr>
                <w:ilvl w:val="0"/>
                <w:numId w:val="11"/>
              </w:numPr>
              <w:ind w:left="284" w:hanging="284"/>
            </w:pPr>
            <w:r>
              <w:t xml:space="preserve">В отношении аккредитации:</w:t>
            </w:r>
            <w:r/>
          </w:p>
          <w:p>
            <w:pPr>
              <w:pStyle w:val="1073"/>
              <w:numPr>
                <w:ilvl w:val="0"/>
                <w:numId w:val="40"/>
              </w:numPr>
              <w:ind w:left="568" w:hanging="284"/>
            </w:pPr>
            <w:r>
              <w:t xml:space="preserve">при</w:t>
            </w:r>
            <w:r>
              <w:t xml:space="preserve"> наличи</w:t>
            </w:r>
            <w:r>
              <w:t xml:space="preserve">и</w:t>
            </w:r>
            <w:r>
              <w:t xml:space="preserve"> у Участника на момент подачи заявки статуса «аккредитован» (по результатам ранее пройденной процедуры </w:t>
            </w:r>
            <w:r>
              <w:t xml:space="preserve">а</w:t>
            </w:r>
            <w:r>
              <w:t xml:space="preserve">ккредитации) / статуса «аккредитация не требуется» (в соответствии с</w:t>
            </w:r>
            <w:r>
              <w:t xml:space="preserve"> </w:t>
            </w:r>
            <w:r>
              <w:t xml:space="preserve">ранее направленными сведениями для включения записи в Реестр аккредитации), и при наличии </w:t>
            </w:r>
            <w:r>
              <w:t xml:space="preserve">(</w:t>
            </w:r>
            <w:r>
              <w:t xml:space="preserve">с</w:t>
            </w:r>
            <w:r>
              <w:t xml:space="preserve"> </w:t>
            </w:r>
            <w:r>
              <w:t xml:space="preserve">момента подачи </w:t>
            </w:r>
            <w:r>
              <w:t xml:space="preserve">З</w:t>
            </w:r>
            <w:r>
              <w:t xml:space="preserve">аявки на</w:t>
            </w:r>
            <w:r>
              <w:t xml:space="preserve"> </w:t>
            </w:r>
            <w:r>
              <w:t xml:space="preserve">аккредитацию</w:t>
            </w:r>
            <w:r>
              <w:t xml:space="preserve">)</w:t>
            </w:r>
            <w:r>
              <w:t xml:space="preserve"> изменений, оказывающих влияние на</w:t>
            </w:r>
            <w:r>
              <w:t xml:space="preserve"> </w:t>
            </w:r>
            <w:r>
              <w:t xml:space="preserve">соответствие его критериям </w:t>
            </w:r>
            <w:r>
              <w:t xml:space="preserve">а</w:t>
            </w:r>
            <w:r>
              <w:t xml:space="preserve">ккредитации (на</w:t>
            </w:r>
            <w:r>
              <w:t xml:space="preserve"> </w:t>
            </w:r>
            <w:r>
              <w:t xml:space="preserve">текущий статус), а</w:t>
            </w:r>
            <w:r>
              <w:t xml:space="preserve"> </w:t>
            </w:r>
            <w:r>
              <w:t xml:space="preserve">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w:t>
            </w:r>
            <w:r>
              <w:t xml:space="preserve"> </w:t>
            </w:r>
            <w:r>
              <w:t xml:space="preserve">аккредитацию – </w:t>
            </w:r>
            <w:r>
              <w:t xml:space="preserve">декларация </w:t>
            </w:r>
            <w:r>
              <w:t xml:space="preserve">в</w:t>
            </w:r>
            <w:r>
              <w:t xml:space="preserve"> </w:t>
            </w:r>
            <w:r>
              <w:t xml:space="preserve">составе Письма о подаче оферты (форма </w:t>
            </w:r>
            <w:r>
              <w:t xml:space="preserve">2</w:t>
            </w:r>
            <w:r>
              <w:t xml:space="preserve">) (</w:t>
            </w:r>
            <w:hyperlink w:tooltip="#Прил04_ФормыЗаявки" w:anchor="Прил04_ФормыЗаявки" w:history="1">
              <w:r>
                <w:rPr>
                  <w:rStyle w:val="1097"/>
                </w:rPr>
                <w:t xml:space="preserve">Приложение № 4</w:t>
              </w:r>
            </w:hyperlink>
            <w:r>
              <w:t xml:space="preserve">)</w:t>
            </w:r>
            <w:r>
              <w:t xml:space="preserve"> и </w:t>
            </w:r>
            <w:r>
              <w:t xml:space="preserve">обновленная Заявка на</w:t>
            </w:r>
            <w:r>
              <w:t xml:space="preserve"> </w:t>
            </w:r>
            <w:r>
              <w:t xml:space="preserve">аккредитацию по установленной в</w:t>
            </w:r>
            <w:r>
              <w:t xml:space="preserve"> </w:t>
            </w:r>
            <w:r>
              <w:t xml:space="preserve">Документации о закупке форме (</w:t>
            </w:r>
            <w:hyperlink w:tooltip="#Прил10_ЗаявкаНаАккредитацию" w:anchor="Прил10_ЗаявкаНаАккредитацию" w:history="1">
              <w:r>
                <w:rPr>
                  <w:rStyle w:val="1097"/>
                </w:rPr>
                <w:t xml:space="preserve">Приложение № </w:t>
              </w:r>
              <w:r>
                <w:rPr>
                  <w:rStyle w:val="1097"/>
                </w:rPr>
                <w:t xml:space="preserve">1</w:t>
              </w:r>
              <w:r>
                <w:rPr>
                  <w:rStyle w:val="1097"/>
                </w:rPr>
                <w:t xml:space="preserve">0</w:t>
              </w:r>
            </w:hyperlink>
            <w:r>
              <w:t xml:space="preserve">);</w:t>
            </w:r>
            <w:r/>
          </w:p>
          <w:p>
            <w:pPr>
              <w:pStyle w:val="1073"/>
              <w:numPr>
                <w:ilvl w:val="0"/>
                <w:numId w:val="40"/>
              </w:numPr>
              <w:ind w:left="568" w:hanging="284"/>
            </w:pPr>
            <w:r>
              <w:t xml:space="preserve">при </w:t>
            </w:r>
            <w:r>
              <w:t xml:space="preserve">отсутствии у Участника на момент подачи заявки статуса «аккредитован» (</w:t>
            </w:r>
            <w:r>
              <w:t xml:space="preserve">при условии, что Участник </w:t>
            </w:r>
            <w:r>
              <w:t xml:space="preserve">ранее</w:t>
            </w:r>
            <w:r>
              <w:t xml:space="preserve"> направил</w:t>
            </w:r>
            <w:r>
              <w:t xml:space="preserve"> Заявку на</w:t>
            </w:r>
            <w:r>
              <w:t xml:space="preserve"> </w:t>
            </w:r>
            <w:r>
              <w:t xml:space="preserve">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w:t>
            </w:r>
            <w:r>
              <w:t xml:space="preserve">)</w:t>
            </w:r>
            <w:r>
              <w:t xml:space="preserve"> </w:t>
            </w:r>
            <w:r>
              <w:t xml:space="preserve">– декларация </w:t>
            </w:r>
            <w:r>
              <w:t xml:space="preserve">в</w:t>
            </w:r>
            <w:r>
              <w:t xml:space="preserve"> </w:t>
            </w:r>
            <w:r>
              <w:t xml:space="preserve">составе Письма о подаче оферты (форма </w:t>
            </w:r>
            <w:r>
              <w:t xml:space="preserve">2</w:t>
            </w:r>
            <w:r>
              <w:t xml:space="preserve">) (</w:t>
            </w:r>
            <w:hyperlink w:tooltip="#Прил04_ФормыЗаявки" w:anchor="Прил04_ФормыЗаявки" w:history="1">
              <w:r>
                <w:rPr>
                  <w:rStyle w:val="1097"/>
                </w:rPr>
                <w:t xml:space="preserve">Приложение № 4</w:t>
              </w:r>
            </w:hyperlink>
            <w:r>
              <w:t xml:space="preserve">)</w:t>
            </w:r>
            <w:r>
              <w:t xml:space="preserve">;</w:t>
            </w:r>
            <w:r/>
          </w:p>
          <w:p>
            <w:pPr>
              <w:pStyle w:val="1073"/>
              <w:numPr>
                <w:ilvl w:val="0"/>
                <w:numId w:val="40"/>
              </w:numPr>
              <w:ind w:left="568" w:hanging="284"/>
            </w:pPr>
            <w:r>
              <w:t xml:space="preserve">при</w:t>
            </w:r>
            <w:r>
              <w:t xml:space="preserve"> отсутстви</w:t>
            </w:r>
            <w:r>
              <w:t xml:space="preserve">и</w:t>
            </w:r>
            <w:r>
              <w:t xml:space="preserve"> у Участника на момент подачи заявки статуса «аккредитован» </w:t>
            </w:r>
            <w:r>
              <w:t xml:space="preserve">(не проходил ранее процедуру </w:t>
            </w:r>
            <w:r>
              <w:t xml:space="preserve">а</w:t>
            </w:r>
            <w:r>
              <w:t xml:space="preserve">ккредитации</w:t>
            </w:r>
            <w:r>
              <w:t xml:space="preserve"> или наличия </w:t>
            </w:r>
            <w:r>
              <w:t xml:space="preserve">у Участника</w:t>
            </w:r>
            <w:r>
              <w:t xml:space="preserve"> </w:t>
            </w:r>
            <w:r>
              <w:t xml:space="preserve">статуса </w:t>
            </w:r>
            <w:r>
              <w:t xml:space="preserve">«не аккредитован» (по результатам ранее пройденной процедуры </w:t>
            </w:r>
            <w:r>
              <w:t xml:space="preserve">а</w:t>
            </w:r>
            <w:r>
              <w:t xml:space="preserve">ккредитации), а также для лиц, указанных в</w:t>
            </w:r>
            <w:r>
              <w:t xml:space="preserve"> </w:t>
            </w:r>
            <w:r>
              <w:t xml:space="preserve">пункте</w:t>
            </w:r>
            <w:r>
              <w:t xml:space="preserve"> </w:t>
            </w:r>
            <w:r>
              <w:t xml:space="preserve">3.11 Положения об</w:t>
            </w:r>
            <w:r>
              <w:t xml:space="preserve"> </w:t>
            </w:r>
            <w:r>
              <w:t xml:space="preserve">аккредитации (</w:t>
            </w:r>
            <w:r>
              <w:t xml:space="preserve">а</w:t>
            </w:r>
            <w:r>
              <w:t xml:space="preserve">ккредитация не требуется), но которые ранее не</w:t>
            </w:r>
            <w:r>
              <w:t xml:space="preserve"> </w:t>
            </w:r>
            <w:r>
              <w:t xml:space="preserve">направляли соответствующие сведения для</w:t>
            </w:r>
            <w:r>
              <w:t xml:space="preserve"> </w:t>
            </w:r>
            <w:r>
              <w:t xml:space="preserve">включения записи в Реестр аккредитации </w:t>
            </w:r>
            <w:r>
              <w:t xml:space="preserve">–</w:t>
            </w:r>
            <w:r>
              <w:t xml:space="preserve"> </w:t>
            </w:r>
            <w:r>
              <w:t xml:space="preserve">Заявка на</w:t>
            </w:r>
            <w:r>
              <w:t xml:space="preserve"> </w:t>
            </w:r>
            <w:r>
              <w:t xml:space="preserve">аккредитацию по</w:t>
            </w:r>
            <w:r>
              <w:t xml:space="preserve"> </w:t>
            </w:r>
            <w:r>
              <w:t xml:space="preserve">установленной в</w:t>
            </w:r>
            <w:r>
              <w:t xml:space="preserve"> </w:t>
            </w:r>
            <w:r>
              <w:t xml:space="preserve">Документации о закупке форме </w:t>
            </w:r>
            <w:r>
              <w:t xml:space="preserve">(</w:t>
            </w:r>
            <w:hyperlink w:tooltip="#Прил10_ЗаявкаНаАккредитацию" w:anchor="Прил10_ЗаявкаНаАккредитацию" w:history="1">
              <w:r>
                <w:rPr>
                  <w:rStyle w:val="1097"/>
                </w:rPr>
                <w:t xml:space="preserve">Приложение № 10</w:t>
              </w:r>
            </w:hyperlink>
            <w:r>
              <w:t xml:space="preserve">)</w:t>
            </w:r>
            <w:r>
              <w:t xml:space="preserve">.</w:t>
            </w:r>
            <w:r/>
          </w:p>
          <w:p>
            <w:pPr>
              <w:pStyle w:val="1073"/>
              <w:ind w:left="284"/>
            </w:pPr>
            <w:r>
              <w:t xml:space="preserve">В случае заинтересованности Участника в дополнительной</w:t>
            </w:r>
            <w:r>
              <w:t xml:space="preserve"> оценке его финансового состояния, при условии отсутствия опубликованной в</w:t>
            </w:r>
            <w:r>
              <w:t xml:space="preserve"> </w:t>
            </w:r>
            <w:r>
              <w:t xml:space="preserve">государственном информационном ресурсе бухгалтерской (финансовой) отчетности организаций (</w:t>
            </w:r>
            <w:r>
              <w:t xml:space="preserve">https://bo.nalog.ru</w:t>
            </w:r>
            <w:r>
              <w:t xml:space="preserve">), к Заявке на</w:t>
            </w:r>
            <w:r>
              <w:t xml:space="preserve"> </w:t>
            </w:r>
            <w:r>
              <w:t xml:space="preserve">аккредитацию также прилагается электронная копия бухгалтерского баланса</w:t>
            </w:r>
            <w:r>
              <w:t xml:space="preserve"> (</w:t>
            </w:r>
            <w:r>
              <w:t xml:space="preserve">ОКУД</w:t>
            </w:r>
            <w:r>
              <w:t xml:space="preserve"> </w:t>
            </w:r>
            <w:r>
              <w:t xml:space="preserve">0710001</w:t>
            </w:r>
            <w:r>
              <w:t xml:space="preserve">)</w:t>
            </w:r>
            <w:r>
              <w:t xml:space="preserve"> и отчета о финансовых результатах </w:t>
            </w:r>
            <w:r>
              <w:t xml:space="preserve">(</w:t>
            </w:r>
            <w:r>
              <w:t xml:space="preserve">ОКУД</w:t>
            </w:r>
            <w:r>
              <w:t xml:space="preserve"> </w:t>
            </w:r>
            <w:r>
              <w:t xml:space="preserve">0710002</w:t>
            </w:r>
            <w:r>
              <w:t xml:space="preserve">) </w:t>
            </w:r>
            <w:r>
              <w:t xml:space="preserve">за последний завершенный финансовый год, с</w:t>
            </w:r>
            <w:r>
              <w:t xml:space="preserve"> </w:t>
            </w:r>
            <w:r>
              <w:t xml:space="preserve">отметкой налогового органа о приеме или с</w:t>
            </w:r>
            <w:r>
              <w:t xml:space="preserve"> </w:t>
            </w:r>
            <w:r>
              <w:t xml:space="preserve">приложением квитанции о приеме и</w:t>
            </w:r>
            <w:r>
              <w:t xml:space="preserve"> (</w:t>
            </w:r>
            <w:r>
              <w:t xml:space="preserve">или</w:t>
            </w:r>
            <w:r>
              <w:t xml:space="preserve">)</w:t>
            </w:r>
            <w:r>
              <w:t xml:space="preserve"> извещения о вводе сведений налоговым органом. </w:t>
            </w:r>
            <w:r/>
          </w:p>
          <w:p>
            <w:pPr>
              <w:pStyle w:val="1073"/>
              <w:ind w:left="284"/>
            </w:pPr>
            <w:r>
              <w:t xml:space="preserve">Если Участник в соответствии с законодательством формирует отчетность по формам ОКУД 0503730, 0503721 (и</w:t>
            </w:r>
            <w:r>
              <w:t xml:space="preserve"> (или)</w:t>
            </w:r>
            <w:r>
              <w:t xml:space="preserve"> освобожден от предоставления дополнительного экземпляра отчетности для размещения на официальном сайте ФНС России</w:t>
            </w:r>
            <w:r>
              <w:t xml:space="preserve">) </w:t>
            </w:r>
            <w:r>
              <w:t xml:space="preserve">– оценка его финансового состояния производится на основании представленных вместе с Заявкой на аккредитацию:</w:t>
            </w:r>
            <w:r/>
          </w:p>
          <w:p>
            <w:pPr>
              <w:pStyle w:val="1073"/>
              <w:ind w:left="284"/>
            </w:pPr>
            <w:r>
              <w:t xml:space="preserve">−</w:t>
            </w:r>
            <w:r>
              <w:tab/>
              <w:t xml:space="preserve">электронной копии бухгалтерско</w:t>
            </w:r>
            <w:r>
              <w:t xml:space="preserve">й (финансовой)</w:t>
            </w:r>
            <w:r>
              <w:t xml:space="preserve"> </w:t>
            </w:r>
            <w:r>
              <w:t xml:space="preserve">отчетности </w:t>
            </w:r>
            <w:r>
              <w:t xml:space="preserve">по формам ОКУД 0503730, 0503721 за последний завершенный </w:t>
            </w:r>
            <w:r>
              <w:t xml:space="preserve">и предшествующий ему </w:t>
            </w:r>
            <w:r>
              <w:t xml:space="preserve">финансовый год, с отметкой налогового органа о приеме или с приложением квитанции о приеме и (или) извещения о вводе сведений налоговым органом;</w:t>
            </w:r>
            <w:r/>
          </w:p>
          <w:p>
            <w:pPr>
              <w:pStyle w:val="1073"/>
              <w:ind w:left="284"/>
            </w:pPr>
            <w:r>
              <w:t xml:space="preserve">−</w:t>
            </w:r>
            <w:r>
              <w:tab/>
              <w:t xml:space="preserve">дополнительных сведений о размере всех требуемых показателей согласно данным бухгалтерской (финансовой) отчетности (по форме, представленной в </w:t>
            </w:r>
            <w:hyperlink w:tooltip="#Прил11_Данные_бухотчетность" w:anchor="Прил11_Данные_бухотчетность" w:history="1">
              <w:r>
                <w:rPr>
                  <w:rStyle w:val="1083"/>
                </w:rPr>
                <w:t xml:space="preserve">Приложении № 11</w:t>
              </w:r>
            </w:hyperlink>
            <w:r>
              <w:t xml:space="preserve">).</w:t>
            </w:r>
            <w:r/>
          </w:p>
          <w:p>
            <w:pPr>
              <w:pStyle w:val="1073"/>
              <w:ind w:left="284"/>
            </w:pPr>
            <w:r>
              <w:t xml:space="preserve">Указанные документы не</w:t>
            </w:r>
            <w:r>
              <w:t xml:space="preserve"> </w:t>
            </w:r>
            <w:r>
              <w:t xml:space="preserve">являются обязательными к</w:t>
            </w:r>
            <w:r>
              <w:t xml:space="preserve"> </w:t>
            </w:r>
            <w:r>
              <w:t xml:space="preserve">подаче в рамках процедуры </w:t>
            </w:r>
            <w:r>
              <w:t xml:space="preserve">а</w:t>
            </w:r>
            <w:r>
              <w:t xml:space="preserve">ккредитации и предоставляются по желанию Участника</w:t>
            </w:r>
            <w:r>
              <w:t xml:space="preserve">.</w:t>
            </w:r>
            <w:r/>
          </w:p>
        </w:tc>
      </w:tr>
      <w:tr>
        <w:tblPrEx/>
        <w:trPr/>
        <w:tc>
          <w:tcPr>
            <w:tcW w:w="1129" w:type="dxa"/>
            <w:textDirection w:val="lrTb"/>
            <w:noWrap w:val="false"/>
          </w:tcPr>
          <w:p>
            <w:pPr>
              <w:pStyle w:val="1073"/>
              <w:numPr>
                <w:ilvl w:val="0"/>
                <w:numId w:val="4"/>
              </w:numPr>
              <w:ind w:left="284" w:firstLine="0"/>
              <w:jc w:val="center"/>
            </w:pPr>
            <w:r/>
            <w:bookmarkStart w:id="277" w:name="_Ref149558364"/>
            <w:r/>
            <w:bookmarkEnd w:id="277"/>
            <w:r/>
            <w:r/>
          </w:p>
        </w:tc>
        <w:tc>
          <w:tcPr>
            <w:tcW w:w="5670" w:type="dxa"/>
            <w:textDirection w:val="lrTb"/>
            <w:noWrap w:val="false"/>
          </w:tcPr>
          <w:p>
            <w:pPr>
              <w:pStyle w:val="1073"/>
            </w:pPr>
            <w:r>
              <w:t xml:space="preserve">Участник должен являться субъектом МСП, или физическим лицом, не являющимся индивидуальным предпринимателем и применяющим специальный налоговый режим «Налог на профессиональный доход»:</w:t>
            </w:r>
            <w:r/>
          </w:p>
        </w:tc>
        <w:tc>
          <w:tcPr>
            <w:tcW w:w="8327" w:type="dxa"/>
            <w:textDirection w:val="lrTb"/>
            <w:noWrap w:val="false"/>
          </w:tcPr>
          <w:p>
            <w:pPr>
              <w:pStyle w:val="1073"/>
            </w:pPr>
            <w:r>
              <w:t xml:space="preserve">Предоставление документов не требуется.</w:t>
            </w:r>
            <w:r/>
          </w:p>
          <w:p>
            <w:pPr>
              <w:pStyle w:val="1073"/>
              <w:rPr>
                <w:i/>
                <w:iCs/>
              </w:rPr>
            </w:pPr>
            <w:r>
              <w:rPr>
                <w:i/>
                <w:iCs/>
              </w:rPr>
              <w:t xml:space="preserve">(В рамках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w:t>
            </w:r>
            <w:r>
              <w:rPr>
                <w:i/>
                <w:iCs/>
              </w:rPr>
              <w:t xml:space="preserve"> </w:t>
            </w:r>
            <w:r>
              <w:rPr>
                <w:i/>
                <w:iCs/>
              </w:rPr>
              <w:t xml:space="preserve">профессиональный доход», наличие информации на официальном сайте федерального органа исполнительной власти, уполномоченного по</w:t>
            </w:r>
            <w:r>
              <w:rPr>
                <w:i/>
                <w:iCs/>
              </w:rPr>
              <w:t xml:space="preserve"> </w:t>
            </w:r>
            <w:r>
              <w:rPr>
                <w:i/>
                <w:iCs/>
              </w:rPr>
              <w:t xml:space="preserve">контролю и надзору в области налогов и сборов, о применении ими такого налогового режима.)</w:t>
            </w:r>
            <w:r>
              <w:rPr>
                <w:i/>
                <w:iCs/>
              </w:rPr>
            </w:r>
            <w:r>
              <w:rPr>
                <w:i/>
                <w:iCs/>
              </w:rPr>
            </w:r>
          </w:p>
        </w:tc>
      </w:tr>
      <w:tr>
        <w:tblPrEx/>
        <w:trPr/>
        <w:tc>
          <w:tcPr>
            <w:tcW w:w="1129" w:type="dxa"/>
            <w:textDirection w:val="lrTb"/>
            <w:noWrap w:val="false"/>
          </w:tcPr>
          <w:p>
            <w:pPr>
              <w:pStyle w:val="1073"/>
              <w:numPr>
                <w:ilvl w:val="0"/>
                <w:numId w:val="4"/>
              </w:numPr>
              <w:ind w:left="284" w:firstLine="0"/>
              <w:jc w:val="center"/>
            </w:pPr>
            <w:r/>
            <w:bookmarkStart w:id="278" w:name="_Ref139028406"/>
            <w:r/>
            <w:bookmarkEnd w:id="278"/>
            <w:r/>
            <w:r/>
          </w:p>
        </w:tc>
        <w:tc>
          <w:tcPr>
            <w:tcW w:w="5670" w:type="dxa"/>
            <w:textDirection w:val="lrTb"/>
            <w:noWrap w:val="false"/>
          </w:tcPr>
          <w:p>
            <w:pPr>
              <w:pStyle w:val="1073"/>
            </w:pPr>
            <w:r>
              <w:t xml:space="preserve">Сведения об Участнике должны отсутствовать в</w:t>
            </w:r>
            <w:r>
              <w:t xml:space="preserve"> </w:t>
            </w:r>
            <w:r>
              <w:t xml:space="preserve">перечне юридических лиц, в</w:t>
            </w:r>
            <w:r>
              <w:t xml:space="preserve"> </w:t>
            </w:r>
            <w:r>
              <w:t xml:space="preserve">отношении которых применяются специальные экономические меры, утвержденном Постановлением Правительства Российской Федерации от</w:t>
            </w:r>
            <w:r>
              <w:t xml:space="preserve"> </w:t>
            </w:r>
            <w:r>
              <w:t xml:space="preserve">11.05.2022 №</w:t>
            </w:r>
            <w:r>
              <w:t xml:space="preserve"> </w:t>
            </w:r>
            <w:r>
              <w:t xml:space="preserve">851</w:t>
            </w:r>
            <w:r>
              <w:rPr>
                <w:rStyle w:val="1081"/>
              </w:rPr>
              <w:footnoteReference w:id="7"/>
            </w:r>
            <w:r>
              <w:t xml:space="preserve">, а также Участник не</w:t>
            </w:r>
            <w:r>
              <w:t xml:space="preserve"> </w:t>
            </w:r>
            <w:r>
              <w:t xml:space="preserve">должен являться подконтрольной организацией данных юридических лиц</w:t>
            </w:r>
            <w:r>
              <w:rPr>
                <w:rStyle w:val="1081"/>
              </w:rPr>
              <w:footnoteReference w:id="8"/>
            </w:r>
            <w:r>
              <w:t xml:space="preserve">:</w:t>
            </w:r>
            <w:r/>
          </w:p>
        </w:tc>
        <w:tc>
          <w:tcPr>
            <w:tcW w:w="8327" w:type="dxa"/>
            <w:textDirection w:val="lrTb"/>
            <w:noWrap w:val="false"/>
          </w:tcPr>
          <w:p>
            <w:pPr>
              <w:pStyle w:val="1073"/>
            </w:pPr>
            <w:r>
              <w:t xml:space="preserve">Предоставление документов не требуется.</w:t>
            </w:r>
            <w:r/>
          </w:p>
          <w:p>
            <w:pPr>
              <w:pStyle w:val="1073"/>
              <w:rPr>
                <w:i/>
                <w:iCs/>
              </w:rPr>
            </w:pPr>
            <w:r>
              <w:rPr>
                <w:i/>
                <w:iCs/>
              </w:rPr>
              <w:t xml:space="preserve">(В рамках рассмотрения заявок </w:t>
            </w:r>
            <w:r>
              <w:rPr>
                <w:i/>
                <w:iCs/>
              </w:rPr>
              <w:t xml:space="preserve">и (или) перед заключением договора </w:t>
            </w:r>
            <w:r>
              <w:rPr>
                <w:i/>
                <w:iCs/>
              </w:rPr>
              <w:t xml:space="preserve">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rPr>
                <w:i/>
                <w:iCs/>
              </w:rPr>
              <w:t xml:space="preserve"> </w:t>
            </w:r>
            <w:r>
              <w:rPr>
                <w:i/>
                <w:iCs/>
              </w:rPr>
              <w:t xml:space="preserve">851 «О мерах по</w:t>
            </w:r>
            <w:r>
              <w:rPr>
                <w:i/>
                <w:iCs/>
              </w:rPr>
              <w:t xml:space="preserve"> </w:t>
            </w:r>
            <w:r>
              <w:rPr>
                <w:i/>
                <w:iCs/>
              </w:rPr>
              <w:t xml:space="preserve">реализации Указа Президента Российской Федерации от 3 мая 2022</w:t>
            </w:r>
            <w:r>
              <w:rPr>
                <w:i/>
                <w:iCs/>
              </w:rPr>
              <w:t xml:space="preserve"> </w:t>
            </w:r>
            <w:r>
              <w:rPr>
                <w:i/>
                <w:iCs/>
              </w:rPr>
              <w:t xml:space="preserve">г. N</w:t>
            </w:r>
            <w:r>
              <w:rPr>
                <w:i/>
                <w:iCs/>
              </w:rPr>
              <w:t xml:space="preserve"> </w:t>
            </w:r>
            <w:r>
              <w:rPr>
                <w:i/>
                <w:iCs/>
              </w:rPr>
              <w:t xml:space="preserve">252».)</w:t>
            </w:r>
            <w:r>
              <w:rPr>
                <w:i/>
                <w:iCs/>
              </w:rPr>
            </w:r>
            <w:r>
              <w:rPr>
                <w:i/>
                <w:iCs/>
              </w:rPr>
            </w:r>
          </w:p>
        </w:tc>
      </w:tr>
      <w:tr>
        <w:tblPrEx/>
        <w:trPr/>
        <w:tc>
          <w:tcPr>
            <w:tcW w:w="1129" w:type="dxa"/>
            <w:textDirection w:val="lrTb"/>
            <w:noWrap w:val="false"/>
          </w:tcPr>
          <w:p>
            <w:pPr>
              <w:pStyle w:val="1073"/>
              <w:numPr>
                <w:ilvl w:val="0"/>
                <w:numId w:val="4"/>
              </w:numPr>
              <w:ind w:left="284" w:firstLine="0"/>
              <w:jc w:val="center"/>
            </w:pPr>
            <w:r/>
            <w:bookmarkStart w:id="282" w:name="_Ref186221603"/>
            <w:r/>
            <w:bookmarkEnd w:id="282"/>
            <w:r/>
            <w:r/>
          </w:p>
        </w:tc>
        <w:tc>
          <w:tcPr>
            <w:tcW w:w="5670" w:type="dxa"/>
            <w:textDirection w:val="lrTb"/>
            <w:noWrap w:val="false"/>
          </w:tcPr>
          <w:p>
            <w:pPr>
              <w:pStyle w:val="1073"/>
            </w:pPr>
            <w:r>
              <w:t xml:space="preserve">Если в подразделе</w:t>
            </w:r>
            <w:r>
              <w:t xml:space="preserve"> </w:t>
            </w:r>
            <w:r>
              <w:fldChar w:fldCharType="begin"/>
            </w:r>
            <w:r>
              <w:instrText xml:space="preserve"> REF _Ref125359973 \r \h </w:instrText>
            </w:r>
            <w:r>
              <w:fldChar w:fldCharType="separate"/>
            </w:r>
            <w:r>
              <w:t xml:space="preserve">1.2</w:t>
            </w:r>
            <w:r>
              <w:fldChar w:fldCharType="end"/>
            </w:r>
            <w:r>
              <w:t xml:space="preserve"> установлен режим запрета закупки иностранной продукции и предметом закупки является оказание услуг и</w:t>
            </w:r>
            <w:r>
              <w:t xml:space="preserve"> </w:t>
            </w:r>
            <w:r>
              <w:t xml:space="preserve">(или) выполнение работ (в том числе с поставкой товаров при выполнении работ и</w:t>
            </w:r>
            <w:r>
              <w:t xml:space="preserve"> </w:t>
            </w:r>
            <w:r>
              <w:t xml:space="preserve">(или) оказании услуг), то Участник должен быть российским лицом:</w:t>
            </w:r>
            <w:r/>
          </w:p>
        </w:tc>
        <w:tc>
          <w:tcPr>
            <w:tcW w:w="8327" w:type="dxa"/>
            <w:textDirection w:val="lrTb"/>
            <w:noWrap w:val="false"/>
          </w:tcPr>
          <w:p>
            <w:pPr>
              <w:pStyle w:val="1073"/>
            </w:pPr>
            <w:r>
              <w:t xml:space="preserve">Декларация о соответствии Участника данному требованию в составе </w:t>
            </w:r>
            <w:r>
              <w:t xml:space="preserve">Письма о подаче оферты (форма</w:t>
            </w:r>
            <w:r>
              <w:t xml:space="preserve"> </w:t>
            </w:r>
            <w:r>
              <w:t xml:space="preserve">2) (</w:t>
            </w:r>
            <w:hyperlink w:tooltip="#Прил04_ФормыЗаявки" w:anchor="Прил04_ФормыЗаявки" w:history="1">
              <w:r>
                <w:rPr>
                  <w:rStyle w:val="1097"/>
                </w:rPr>
                <w:t xml:space="preserve">Приложение № 4</w:t>
              </w:r>
            </w:hyperlink>
            <w:r>
              <w:t xml:space="preserve">)</w:t>
            </w:r>
            <w:r>
              <w:t xml:space="preserve">, а также указание Участником в составе заявки в Коммерческом предложении (форма</w:t>
            </w:r>
            <w:r>
              <w:t xml:space="preserve"> </w:t>
            </w:r>
            <w:r>
              <w:t xml:space="preserve">3) </w:t>
            </w:r>
            <w:r>
              <w:t xml:space="preserve">(</w:t>
            </w:r>
            <w:hyperlink w:tooltip="#Прил04_ФормыЗаявки" w:anchor="Прил04_ФормыЗаявки" w:history="1">
              <w:r>
                <w:rPr>
                  <w:rStyle w:val="1097"/>
                </w:rPr>
                <w:t xml:space="preserve">Приложение № 4</w:t>
              </w:r>
            </w:hyperlink>
            <w:r>
              <w:t xml:space="preserve">)</w:t>
            </w:r>
            <w:r>
              <w:t xml:space="preserve"> соответствующих сведений</w:t>
            </w:r>
            <w:r>
              <w:t xml:space="preserve">.</w:t>
            </w:r>
            <w:r/>
          </w:p>
          <w:p>
            <w:pPr>
              <w:pStyle w:val="1073"/>
              <w:rPr>
                <w:i/>
                <w:iCs/>
              </w:rPr>
            </w:pPr>
            <w:r>
              <w:rPr>
                <w:i/>
                <w:iCs/>
              </w:rPr>
              <w:t xml:space="preserve">(</w:t>
            </w:r>
            <w:r>
              <w:rPr>
                <w:i/>
                <w:iCs/>
              </w:rPr>
              <w:t xml:space="preserve">В рамках рассмотрения заявок Организатор проверяет на</w:t>
            </w:r>
            <w:r>
              <w:rPr>
                <w:i/>
                <w:iCs/>
              </w:rPr>
              <w:t xml:space="preserve"> </w:t>
            </w:r>
            <w:r>
              <w:rPr>
                <w:i/>
                <w:iCs/>
              </w:rPr>
              <w:t xml:space="preserve">соответствие данному требованию на основании сведений, размещенных на официальных сервисах ФНС России в сети интернет (в</w:t>
            </w:r>
            <w:r>
              <w:rPr>
                <w:i/>
                <w:iCs/>
              </w:rPr>
              <w:t xml:space="preserve"> </w:t>
            </w:r>
            <w:r>
              <w:rPr>
                <w:i/>
                <w:iCs/>
              </w:rPr>
              <w:t xml:space="preserve">отношении иных стран ЕАЭС – на аналогичных официальных сервисах данных стран).</w:t>
            </w:r>
            <w:r>
              <w:rPr>
                <w:i/>
                <w:iCs/>
              </w:rPr>
              <w:t xml:space="preserve">)</w:t>
            </w:r>
            <w:r>
              <w:rPr>
                <w:i/>
                <w:iCs/>
              </w:rPr>
            </w:r>
            <w:r>
              <w:rPr>
                <w:i/>
                <w:iCs/>
              </w:rPr>
            </w:r>
          </w:p>
        </w:tc>
      </w:tr>
      <w:tr>
        <w:tblPrEx/>
        <w:trPr/>
        <w:tc>
          <w:tcPr>
            <w:tcW w:w="1129" w:type="dxa"/>
            <w:textDirection w:val="lrTb"/>
            <w:noWrap w:val="false"/>
          </w:tcPr>
          <w:p>
            <w:pPr>
              <w:pStyle w:val="1073"/>
              <w:numPr>
                <w:ilvl w:val="0"/>
                <w:numId w:val="4"/>
              </w:numPr>
              <w:ind w:left="284" w:firstLine="0"/>
              <w:jc w:val="center"/>
            </w:pPr>
            <w:r/>
            <w:bookmarkStart w:id="283" w:name="_Ref186221607"/>
            <w:r/>
            <w:bookmarkEnd w:id="283"/>
            <w:r/>
            <w:r/>
          </w:p>
        </w:tc>
        <w:tc>
          <w:tcPr>
            <w:tcW w:w="5670" w:type="dxa"/>
            <w:textDirection w:val="lrTb"/>
            <w:noWrap w:val="false"/>
          </w:tcPr>
          <w:p>
            <w:pPr>
              <w:pStyle w:val="1073"/>
            </w:pPr>
            <w:r>
              <w:t xml:space="preserve">Если в подразделе</w:t>
            </w:r>
            <w:r>
              <w:t xml:space="preserve"> </w:t>
            </w:r>
            <w:r>
              <w:fldChar w:fldCharType="begin"/>
            </w:r>
            <w:r>
              <w:instrText xml:space="preserve"> REF _Ref125359973 \r \h </w:instrText>
            </w:r>
            <w:r>
              <w:fldChar w:fldCharType="separate"/>
            </w:r>
            <w:r>
              <w:t xml:space="preserve">1.2</w:t>
            </w:r>
            <w:r>
              <w:fldChar w:fldCharType="end"/>
            </w:r>
            <w:r>
              <w:t xml:space="preserve"> установлен режим ограничения закупки иностранной продукции и предметом закупки является оказание услуг и</w:t>
            </w:r>
            <w:r>
              <w:t xml:space="preserve"> </w:t>
            </w:r>
            <w:r>
              <w:t xml:space="preserve">(или) выполнение работ (в том числе с</w:t>
            </w:r>
            <w:r>
              <w:t xml:space="preserve"> </w:t>
            </w:r>
            <w:r>
              <w:t xml:space="preserve">поставкой товаров при выполнении закупаемых работ и</w:t>
            </w:r>
            <w:r>
              <w:t xml:space="preserve"> </w:t>
            </w:r>
            <w:r>
              <w:t xml:space="preserve">(или) оказании закупаемых услуг), то</w:t>
            </w:r>
            <w:r>
              <w:t xml:space="preserve"> </w:t>
            </w:r>
            <w:r>
              <w:t xml:space="preserve">Участник </w:t>
            </w:r>
            <w:r>
              <w:t xml:space="preserve">не должен являться иностранным лицом, при наличии заявки, соответствующей всем требованиям Документации о закупке, поданной от российского лица:</w:t>
            </w:r>
            <w:r/>
          </w:p>
        </w:tc>
        <w:tc>
          <w:tcPr>
            <w:tcW w:w="8327" w:type="dxa"/>
            <w:textDirection w:val="lrTb"/>
            <w:noWrap w:val="false"/>
          </w:tcPr>
          <w:p>
            <w:pPr>
              <w:pStyle w:val="1073"/>
            </w:pPr>
            <w:r>
              <w:t xml:space="preserve">Декларация о принадлежности Участника к иностранному лицу или российскому лицу в составе Письма о подаче оферты (форма 2) </w:t>
            </w:r>
            <w:r>
              <w:t xml:space="preserve">(</w:t>
            </w:r>
            <w:hyperlink w:tooltip="#Прил04_ФормыЗаявки" w:anchor="Прил04_ФормыЗаявки" w:history="1">
              <w:r>
                <w:rPr>
                  <w:rStyle w:val="1097"/>
                </w:rPr>
                <w:t xml:space="preserve">Приложение № 4</w:t>
              </w:r>
            </w:hyperlink>
            <w:r>
              <w:t xml:space="preserve">)</w:t>
            </w:r>
            <w:r>
              <w:t xml:space="preserve">, а также указание Участником в составе заявки в Коммерческом предложении (форма 3) </w:t>
            </w:r>
            <w:r>
              <w:t xml:space="preserve">(</w:t>
            </w:r>
            <w:hyperlink w:tooltip="#Прил04_ФормыЗаявки" w:anchor="Прил04_ФормыЗаявки" w:history="1">
              <w:r>
                <w:rPr>
                  <w:rStyle w:val="1097"/>
                </w:rPr>
                <w:t xml:space="preserve">Приложение № 4</w:t>
              </w:r>
            </w:hyperlink>
            <w:r>
              <w:t xml:space="preserve">)</w:t>
            </w:r>
            <w:r>
              <w:t xml:space="preserve"> соответствующих сведений.</w:t>
            </w:r>
            <w:r/>
          </w:p>
          <w:p>
            <w:pPr>
              <w:pStyle w:val="1073"/>
              <w:rPr>
                <w:i/>
                <w:iCs/>
              </w:rPr>
            </w:pPr>
            <w:r>
              <w:rPr>
                <w:i/>
                <w:iCs/>
              </w:rPr>
              <w:t xml:space="preserve">(В рамках рассмотрения заявок Организатор проверяет на</w:t>
            </w:r>
            <w:r>
              <w:rPr>
                <w:i/>
                <w:iCs/>
              </w:rPr>
              <w:t xml:space="preserve"> </w:t>
            </w:r>
            <w:r>
              <w:rPr>
                <w:i/>
                <w:iCs/>
              </w:rPr>
              <w:t xml:space="preserve">соответствие данному требованию на основании сведений, размещенных на официальных сервисах ФНС России в сети интернет (в</w:t>
            </w:r>
            <w:r>
              <w:rPr>
                <w:i/>
                <w:iCs/>
              </w:rPr>
              <w:t xml:space="preserve"> </w:t>
            </w:r>
            <w:r>
              <w:rPr>
                <w:i/>
                <w:iCs/>
              </w:rPr>
              <w:t xml:space="preserve">отношении иных стран ЕАЭС – на аналогичных официальных сервисах данных стран).)</w:t>
            </w:r>
            <w:r>
              <w:rPr>
                <w:i/>
                <w:iCs/>
              </w:rPr>
            </w:r>
            <w:r>
              <w:rPr>
                <w:i/>
                <w:iCs/>
              </w:rPr>
            </w:r>
          </w:p>
        </w:tc>
      </w:tr>
    </w:tbl>
    <w:p>
      <w:pPr>
        <w:pStyle w:val="1068"/>
        <w:spacing w:after="120"/>
      </w:pPr>
      <w:r/>
      <w:bookmarkStart w:id="284" w:name="_Ref125361442"/>
      <w:r/>
      <w:bookmarkStart w:id="285" w:name="_Ref125361633"/>
      <w:r/>
      <w:bookmarkStart w:id="286" w:name="_Ref125361671"/>
      <w:r/>
      <w:bookmarkStart w:id="287" w:name="_Ref125361869"/>
      <w:r/>
      <w:bookmarkStart w:id="288" w:name="_Ref125361937"/>
      <w:r/>
      <w:bookmarkStart w:id="289" w:name="_Ref125365459"/>
      <w:r/>
      <w:bookmarkStart w:id="290" w:name="_Ref125367521"/>
      <w:r/>
      <w:bookmarkStart w:id="291" w:name="_Ref125367539"/>
      <w:r/>
      <w:bookmarkStart w:id="292" w:name="_Ref125368818"/>
      <w:r/>
      <w:bookmarkStart w:id="293" w:name="_Ref125368901"/>
      <w:r/>
      <w:bookmarkStart w:id="294" w:name="_Ref125368916"/>
      <w:r/>
      <w:bookmarkStart w:id="295" w:name="_Ref125369099"/>
      <w:r/>
      <w:bookmarkStart w:id="296" w:name="_Ref125370079"/>
      <w:r/>
      <w:bookmarkStart w:id="297" w:name="_Ref125709153"/>
      <w:r/>
      <w:bookmarkStart w:id="298" w:name="_Ref125709250"/>
      <w:r/>
      <w:bookmarkStart w:id="299" w:name="_Ref125709401"/>
      <w:r/>
      <w:bookmarkStart w:id="300" w:name="_Ref125709888"/>
      <w:r/>
      <w:bookmarkStart w:id="301" w:name="_Toc224744351"/>
      <w:r>
        <w:t xml:space="preserve">Специальные требования</w:t>
      </w:r>
      <w:bookmarkEnd w:id="284"/>
      <w:r/>
      <w:bookmarkEnd w:id="285"/>
      <w:r/>
      <w:bookmarkEnd w:id="286"/>
      <w:r/>
      <w:bookmarkEnd w:id="287"/>
      <w:r/>
      <w:bookmarkEnd w:id="288"/>
      <w:r/>
      <w:bookmarkEnd w:id="289"/>
      <w:r/>
      <w:bookmarkEnd w:id="290"/>
      <w:r/>
      <w:bookmarkEnd w:id="291"/>
      <w:r/>
      <w:bookmarkEnd w:id="292"/>
      <w:r/>
      <w:bookmarkEnd w:id="293"/>
      <w:r/>
      <w:bookmarkEnd w:id="294"/>
      <w:r/>
      <w:bookmarkEnd w:id="295"/>
      <w:r/>
      <w:bookmarkEnd w:id="296"/>
      <w:r/>
      <w:bookmarkEnd w:id="297"/>
      <w:r/>
      <w:bookmarkEnd w:id="298"/>
      <w:r/>
      <w:bookmarkEnd w:id="299"/>
      <w:r/>
      <w:bookmarkEnd w:id="300"/>
      <w:r/>
      <w:bookmarkEnd w:id="301"/>
      <w:r/>
      <w:r/>
    </w:p>
    <w:tbl>
      <w:tblPr>
        <w:tblStyle w:val="1094"/>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073"/>
              <w:jc w:val="center"/>
              <w:keepNext w:val="0"/>
            </w:pPr>
            <w:r>
              <w:t xml:space="preserve">№</w:t>
            </w:r>
            <w:r>
              <w:br/>
              <w:t xml:space="preserve">п/п</w:t>
            </w:r>
            <w:r/>
          </w:p>
        </w:tc>
        <w:tc>
          <w:tcPr>
            <w:tcW w:w="5670" w:type="dxa"/>
            <w:textDirection w:val="lrTb"/>
            <w:noWrap w:val="false"/>
          </w:tcPr>
          <w:p>
            <w:pPr>
              <w:pStyle w:val="1073"/>
              <w:jc w:val="center"/>
              <w:keepNext w:val="0"/>
            </w:pPr>
            <w:r>
              <w:t xml:space="preserve">Требования к Участник</w:t>
            </w:r>
            <w:r>
              <w:t xml:space="preserve">у</w:t>
            </w:r>
            <w:r/>
          </w:p>
        </w:tc>
        <w:tc>
          <w:tcPr>
            <w:tcW w:w="8327" w:type="dxa"/>
            <w:textDirection w:val="lrTb"/>
            <w:noWrap w:val="false"/>
          </w:tcPr>
          <w:p>
            <w:pPr>
              <w:pStyle w:val="1073"/>
              <w:jc w:val="center"/>
              <w:keepNext w:val="0"/>
            </w:pPr>
            <w:r>
              <w:t xml:space="preserve">Требования к документам,</w:t>
            </w:r>
            <w:r>
              <w:br/>
            </w:r>
            <w:r>
              <w:t xml:space="preserve">подтверждающим соответствие Участника установленным требованиям</w:t>
            </w:r>
            <w:r/>
          </w:p>
        </w:tc>
      </w:tr>
      <w:tr>
        <w:tblPrEx/>
        <w:trPr/>
        <w:tc>
          <w:tcPr>
            <w:tcW w:w="1129" w:type="dxa"/>
            <w:textDirection w:val="lrTb"/>
            <w:noWrap w:val="false"/>
          </w:tcPr>
          <w:p>
            <w:pPr>
              <w:pStyle w:val="1073"/>
              <w:numPr>
                <w:ilvl w:val="0"/>
                <w:numId w:val="5"/>
              </w:numPr>
              <w:ind w:left="284" w:firstLine="0"/>
              <w:jc w:val="center"/>
            </w:pPr>
            <w:r/>
            <w:r/>
          </w:p>
        </w:tc>
        <w:tc>
          <w:tcPr>
            <w:tcW w:w="5670" w:type="dxa"/>
            <w:textDirection w:val="lrTb"/>
            <w:noWrap w:val="false"/>
          </w:tcPr>
          <w:p>
            <w:pPr>
              <w:pStyle w:val="1073"/>
            </w:pPr>
            <w:r>
              <w:t xml:space="preserve">Специальные т</w:t>
            </w:r>
            <w:r>
              <w:t xml:space="preserve">ребования не установлены.</w:t>
            </w:r>
            <w:r/>
          </w:p>
        </w:tc>
        <w:tc>
          <w:tcPr>
            <w:tcW w:w="8327" w:type="dxa"/>
            <w:textDirection w:val="lrTb"/>
            <w:noWrap w:val="false"/>
          </w:tcPr>
          <w:p>
            <w:pPr>
              <w:pStyle w:val="1073"/>
            </w:pPr>
            <w:r>
              <w:t xml:space="preserve">Специальные т</w:t>
            </w:r>
            <w:r>
              <w:t xml:space="preserve">ребования не установлены.</w:t>
            </w:r>
            <w:r/>
          </w:p>
        </w:tc>
      </w:tr>
    </w:tbl>
    <w:p>
      <w:pPr>
        <w:pStyle w:val="1068"/>
        <w:spacing w:after="120"/>
      </w:pPr>
      <w:r/>
      <w:bookmarkStart w:id="302" w:name="_Toc224744352"/>
      <w:r/>
      <w:bookmarkStart w:id="303" w:name="_Toc224744357"/>
      <w:r/>
      <w:bookmarkStart w:id="304" w:name="_Toc224744361"/>
      <w:r/>
      <w:bookmarkStart w:id="305" w:name="_Ref125361823"/>
      <w:r/>
      <w:bookmarkStart w:id="306" w:name="_Ref125362031"/>
      <w:r/>
      <w:bookmarkStart w:id="307" w:name="_Ref125369117"/>
      <w:r/>
      <w:bookmarkStart w:id="308" w:name="_Ref125370173"/>
      <w:r/>
      <w:bookmarkStart w:id="309" w:name="_Ref125370180"/>
      <w:r/>
      <w:bookmarkStart w:id="310" w:name="_Ref125370209"/>
      <w:r/>
      <w:bookmarkStart w:id="311" w:name="_Ref125709777"/>
      <w:r/>
      <w:bookmarkStart w:id="312" w:name="_Ref125709973"/>
      <w:r/>
      <w:bookmarkStart w:id="313" w:name="_Toc224744365"/>
      <w:r/>
      <w:bookmarkEnd w:id="302"/>
      <w:r/>
      <w:bookmarkEnd w:id="303"/>
      <w:r/>
      <w:bookmarkEnd w:id="304"/>
      <w:r>
        <w:t xml:space="preserve">Дополнительные т</w:t>
      </w:r>
      <w:r>
        <w:t xml:space="preserve">ребования к Генеральным подрядчикам</w:t>
      </w:r>
      <w:bookmarkEnd w:id="305"/>
      <w:r/>
      <w:bookmarkEnd w:id="306"/>
      <w:r/>
      <w:bookmarkEnd w:id="307"/>
      <w:r/>
      <w:bookmarkEnd w:id="308"/>
      <w:r/>
      <w:bookmarkEnd w:id="309"/>
      <w:r/>
      <w:bookmarkEnd w:id="310"/>
      <w:r/>
      <w:bookmarkEnd w:id="311"/>
      <w:r/>
      <w:bookmarkEnd w:id="312"/>
      <w:r/>
      <w:bookmarkEnd w:id="313"/>
      <w:r/>
      <w:r/>
    </w:p>
    <w:tbl>
      <w:tblPr>
        <w:tblStyle w:val="1094"/>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073"/>
              <w:jc w:val="center"/>
              <w:keepNext w:val="0"/>
            </w:pPr>
            <w:r>
              <w:t xml:space="preserve">№</w:t>
            </w:r>
            <w:r>
              <w:br/>
              <w:t xml:space="preserve">п/п</w:t>
            </w:r>
            <w:r/>
          </w:p>
        </w:tc>
        <w:tc>
          <w:tcPr>
            <w:tcW w:w="5670" w:type="dxa"/>
            <w:textDirection w:val="lrTb"/>
            <w:noWrap w:val="false"/>
          </w:tcPr>
          <w:p>
            <w:pPr>
              <w:pStyle w:val="1073"/>
              <w:jc w:val="center"/>
              <w:keepNext w:val="0"/>
            </w:pPr>
            <w:r>
              <w:t xml:space="preserve">Требования к </w:t>
            </w:r>
            <w:r>
              <w:t xml:space="preserve">Генеральн</w:t>
            </w:r>
            <w:r>
              <w:t xml:space="preserve">ому</w:t>
            </w:r>
            <w:r>
              <w:t xml:space="preserve"> </w:t>
            </w:r>
            <w:r>
              <w:t xml:space="preserve">подрядчику</w:t>
            </w:r>
            <w:r/>
          </w:p>
        </w:tc>
        <w:tc>
          <w:tcPr>
            <w:tcW w:w="8327" w:type="dxa"/>
            <w:textDirection w:val="lrTb"/>
            <w:noWrap w:val="false"/>
          </w:tcPr>
          <w:p>
            <w:pPr>
              <w:pStyle w:val="1073"/>
              <w:jc w:val="center"/>
              <w:keepNext w:val="0"/>
            </w:pPr>
            <w:r>
              <w:t xml:space="preserve">Требования к документам, подтверждающим соответствие</w:t>
            </w:r>
            <w:r>
              <w:br/>
            </w:r>
            <w:r>
              <w:t xml:space="preserve">Генерального подрядчика установленным требованиям</w:t>
            </w:r>
            <w:r/>
          </w:p>
        </w:tc>
      </w:tr>
      <w:tr>
        <w:tblPrEx/>
        <w:trPr/>
        <w:tc>
          <w:tcPr>
            <w:tcW w:w="1129" w:type="dxa"/>
            <w:textDirection w:val="lrTb"/>
            <w:noWrap w:val="false"/>
          </w:tcPr>
          <w:p>
            <w:pPr>
              <w:pStyle w:val="1073"/>
              <w:numPr>
                <w:ilvl w:val="0"/>
                <w:numId w:val="7"/>
              </w:numPr>
              <w:ind w:left="284" w:firstLine="0"/>
              <w:jc w:val="center"/>
            </w:pPr>
            <w:r/>
            <w:bookmarkStart w:id="314" w:name="_Ref125370187"/>
            <w:r/>
            <w:bookmarkEnd w:id="314"/>
            <w:r/>
            <w:r/>
          </w:p>
        </w:tc>
        <w:tc>
          <w:tcPr>
            <w:tcW w:w="5670" w:type="dxa"/>
            <w:textDirection w:val="lrTb"/>
            <w:noWrap w:val="false"/>
          </w:tcPr>
          <w:p>
            <w:pPr>
              <w:pStyle w:val="1073"/>
            </w:pPr>
            <w:r>
              <w:t xml:space="preserve">Заявка Генерального подрядчика дополнительно должна включать сведения о</w:t>
            </w:r>
            <w:r>
              <w:t xml:space="preserve"> </w:t>
            </w:r>
            <w:r>
              <w:t xml:space="preserve">распределении объемов поставки продукции между Генеральным подрядчиком и субподрядчиками</w:t>
            </w:r>
            <w:r>
              <w:t xml:space="preserve">:</w:t>
            </w:r>
            <w:r/>
          </w:p>
        </w:tc>
        <w:tc>
          <w:tcPr>
            <w:tcW w:w="8327" w:type="dxa"/>
            <w:textDirection w:val="lrTb"/>
            <w:noWrap w:val="false"/>
          </w:tcPr>
          <w:p>
            <w:pPr>
              <w:pStyle w:val="1073"/>
            </w:pPr>
            <w:r>
              <w:t xml:space="preserve">Техническое предложение (форма 4) </w:t>
            </w:r>
            <w:r>
              <w:t xml:space="preserve">(</w:t>
            </w:r>
            <w:hyperlink w:tooltip="#Прил04_ФормыЗаявки" w:anchor="Прил04_ФормыЗаявки" w:history="1">
              <w:r>
                <w:rPr>
                  <w:rStyle w:val="1097"/>
                </w:rPr>
                <w:t xml:space="preserve">Приложение № 4</w:t>
              </w:r>
            </w:hyperlink>
            <w:r>
              <w:t xml:space="preserve">)</w:t>
            </w:r>
            <w:r>
              <w:t xml:space="preserve">, содержащие </w:t>
            </w:r>
            <w:r>
              <w:t xml:space="preserve">План распределения объемов поставки </w:t>
            </w:r>
            <w:r>
              <w:t xml:space="preserve">продукции</w:t>
            </w:r>
            <w:r>
              <w:t xml:space="preserve">;</w:t>
            </w:r>
            <w:r/>
          </w:p>
        </w:tc>
      </w:tr>
      <w:tr>
        <w:tblPrEx/>
        <w:trPr/>
        <w:tc>
          <w:tcPr>
            <w:tcW w:w="1129" w:type="dxa"/>
            <w:textDirection w:val="lrTb"/>
            <w:noWrap w:val="false"/>
          </w:tcPr>
          <w:p>
            <w:pPr>
              <w:pStyle w:val="1073"/>
              <w:numPr>
                <w:ilvl w:val="0"/>
                <w:numId w:val="7"/>
              </w:numPr>
              <w:ind w:left="284" w:firstLine="0"/>
              <w:jc w:val="center"/>
            </w:pPr>
            <w:r/>
            <w:bookmarkStart w:id="315" w:name="_Ref125370193"/>
            <w:r/>
            <w:bookmarkEnd w:id="315"/>
            <w:r/>
            <w:r/>
          </w:p>
        </w:tc>
        <w:tc>
          <w:tcPr>
            <w:tcW w:w="5670" w:type="dxa"/>
            <w:textDirection w:val="lrTb"/>
            <w:noWrap w:val="false"/>
          </w:tcPr>
          <w:p>
            <w:pPr>
              <w:pStyle w:val="1073"/>
            </w:pPr>
            <w:r>
              <w:t xml:space="preserve">Соответствие каждого субподрядчика установленным </w:t>
            </w:r>
            <w:r>
              <w:t xml:space="preserve">требованиям (</w:t>
            </w:r>
            <w:r>
              <w:t xml:space="preserve">с учетом </w:t>
            </w:r>
            <w:r>
              <w:t xml:space="preserve">пункт</w:t>
            </w:r>
            <w:r>
              <w:t xml:space="preserve">а</w:t>
            </w:r>
            <w:r>
              <w:t xml:space="preserve"> </w:t>
            </w:r>
            <w:r>
              <w:fldChar w:fldCharType="begin"/>
            </w:r>
            <w:r>
              <w:instrText xml:space="preserve"> REF _Ref125368863 \w \h </w:instrText>
            </w:r>
            <w:r>
              <w:instrText xml:space="preserve"> \* MERGEFORMAT </w:instrText>
            </w:r>
            <w:r>
              <w:fldChar w:fldCharType="separate"/>
            </w:r>
            <w:r>
              <w:t xml:space="preserve">3.2.4</w:t>
            </w:r>
            <w:r>
              <w:fldChar w:fldCharType="end"/>
            </w:r>
            <w:r>
              <w:t xml:space="preserve">) </w:t>
            </w:r>
            <w:r>
              <w:t xml:space="preserve">в том числе с учетом </w:t>
            </w:r>
            <w:r>
              <w:t xml:space="preserve">объема поставки продукции, который ему предполагается поручить </w:t>
            </w:r>
            <w:r>
              <w:t xml:space="preserve">в</w:t>
            </w:r>
            <w:r>
              <w:t xml:space="preserve"> </w:t>
            </w:r>
            <w:r>
              <w:t xml:space="preserve">соответствии с Планом распределения объемов поставки продукции, представленным внутри Технических требованиях (форма</w:t>
            </w:r>
            <w:r>
              <w:t xml:space="preserve"> </w:t>
            </w:r>
            <w:r>
              <w:t xml:space="preserve">4) </w:t>
            </w:r>
            <w:r>
              <w:t xml:space="preserve">(</w:t>
            </w:r>
            <w:hyperlink w:tooltip="#Прил04_ФормыЗаявки" w:anchor="Прил04_ФормыЗаявки" w:history="1">
              <w:r>
                <w:rPr>
                  <w:rStyle w:val="1097"/>
                </w:rPr>
                <w:t xml:space="preserve">Приложение № 4</w:t>
              </w:r>
            </w:hyperlink>
            <w:r>
              <w:t xml:space="preserve">):</w:t>
            </w:r>
            <w:r/>
          </w:p>
        </w:tc>
        <w:tc>
          <w:tcPr>
            <w:tcW w:w="8327" w:type="dxa"/>
            <w:textDirection w:val="lrTb"/>
            <w:noWrap w:val="false"/>
          </w:tcPr>
          <w:p>
            <w:pPr>
              <w:pStyle w:val="1073"/>
            </w:pPr>
            <w:r>
              <w:t xml:space="preserve">Сведения и документы, аналогичные </w:t>
            </w:r>
            <w:r>
              <w:t xml:space="preserve">установленным в</w:t>
            </w:r>
            <w:r>
              <w:t xml:space="preserve"> </w:t>
            </w:r>
            <w:r>
              <w:t xml:space="preserve">подразделах </w:t>
            </w:r>
            <w:r>
              <w:fldChar w:fldCharType="begin"/>
            </w:r>
            <w:r>
              <w:instrText xml:space="preserve"> REF _Ref125361435 \w \h  \* MERGEFORMAT </w:instrText>
            </w:r>
            <w:r>
              <w:fldChar w:fldCharType="separate"/>
            </w:r>
            <w:r>
              <w:t xml:space="preserve">8.2</w:t>
            </w:r>
            <w:r>
              <w:fldChar w:fldCharType="end"/>
            </w:r>
            <w:r>
              <w:t xml:space="preserve"> – </w:t>
            </w:r>
            <w:r>
              <w:fldChar w:fldCharType="begin"/>
            </w:r>
            <w:r>
              <w:instrText xml:space="preserve"> REF _Ref125361442 \n \h </w:instrText>
            </w:r>
            <w:r>
              <w:fldChar w:fldCharType="separate"/>
            </w:r>
            <w:r>
              <w:t xml:space="preserve">8.3</w:t>
            </w:r>
            <w:r>
              <w:fldChar w:fldCharType="end"/>
            </w:r>
            <w:r>
              <w:t xml:space="preserve">, в</w:t>
            </w:r>
            <w:r>
              <w:t xml:space="preserve"> </w:t>
            </w:r>
            <w:r>
              <w:t xml:space="preserve">отношении каждого субподрядчика, подтверждающие его соответствие данным требованиям</w:t>
            </w:r>
            <w:r>
              <w:t xml:space="preserve">;</w:t>
            </w:r>
            <w:r/>
          </w:p>
        </w:tc>
      </w:tr>
      <w:tr>
        <w:tblPrEx/>
        <w:trPr/>
        <w:tc>
          <w:tcPr>
            <w:tcW w:w="1129" w:type="dxa"/>
            <w:textDirection w:val="lrTb"/>
            <w:noWrap w:val="false"/>
          </w:tcPr>
          <w:p>
            <w:pPr>
              <w:pStyle w:val="1073"/>
              <w:numPr>
                <w:ilvl w:val="0"/>
                <w:numId w:val="7"/>
              </w:numPr>
              <w:ind w:left="284" w:firstLine="0"/>
              <w:jc w:val="center"/>
            </w:pPr>
            <w:r/>
            <w:bookmarkStart w:id="316" w:name="_Ref125553847"/>
            <w:r/>
            <w:bookmarkEnd w:id="316"/>
            <w:r/>
            <w:r/>
          </w:p>
        </w:tc>
        <w:tc>
          <w:tcPr>
            <w:tcW w:w="5670" w:type="dxa"/>
            <w:textDirection w:val="lrTb"/>
            <w:noWrap w:val="false"/>
          </w:tcPr>
          <w:p>
            <w:pPr>
              <w:pStyle w:val="1073"/>
            </w:pPr>
            <w:r>
              <w:t xml:space="preserve">Дополнительные т</w:t>
            </w:r>
            <w:r>
              <w:t xml:space="preserve">ребования не установлены.</w:t>
            </w:r>
            <w:r/>
          </w:p>
          <w:p>
            <w:pPr>
              <w:pStyle w:val="1073"/>
              <w:rPr>
                <w:rStyle w:val="1078"/>
              </w:rPr>
            </w:pPr>
            <w:r>
              <w:rPr>
                <w:rStyle w:val="1078"/>
              </w:rPr>
            </w:r>
            <w:r>
              <w:rPr>
                <w:rStyle w:val="1078"/>
              </w:rPr>
            </w:r>
            <w:r>
              <w:rPr>
                <w:rStyle w:val="1078"/>
              </w:rPr>
            </w:r>
          </w:p>
        </w:tc>
        <w:tc>
          <w:tcPr>
            <w:tcW w:w="8327" w:type="dxa"/>
            <w:textDirection w:val="lrTb"/>
            <w:noWrap w:val="false"/>
          </w:tcPr>
          <w:p>
            <w:pPr>
              <w:pStyle w:val="1073"/>
            </w:pPr>
            <w:r>
              <w:t xml:space="preserve">Дополнительные т</w:t>
            </w:r>
            <w:r>
              <w:t xml:space="preserve">ребования не установлены.</w:t>
            </w:r>
            <w:r/>
          </w:p>
        </w:tc>
      </w:tr>
    </w:tbl>
    <w:p>
      <w:pPr>
        <w:pStyle w:val="1073"/>
      </w:pPr>
      <w:r/>
      <w:r/>
    </w:p>
    <w:p>
      <w:pPr>
        <w:pStyle w:val="1073"/>
        <w:sectPr>
          <w:footnotePr/>
          <w:endnotePr/>
          <w:type w:val="nextPage"/>
          <w:pgSz w:w="16838" w:h="11906" w:orient="landscape"/>
          <w:pgMar w:top="1134" w:right="851" w:bottom="850" w:left="851" w:header="567" w:footer="567" w:gutter="0"/>
          <w:cols w:num="1" w:sep="0" w:space="708" w:equalWidth="1"/>
          <w:docGrid w:linePitch="360"/>
        </w:sectPr>
      </w:pPr>
      <w:r/>
      <w:r/>
    </w:p>
    <w:p>
      <w:pPr>
        <w:pStyle w:val="1067"/>
      </w:pPr>
      <w:r/>
      <w:bookmarkStart w:id="317" w:name="Прил04_ФормыЗаявки"/>
      <w:r/>
      <w:bookmarkStart w:id="318" w:name="_Toc224744366"/>
      <w:r/>
      <w:bookmarkStart w:id="319" w:name="_Ref125362865"/>
      <w:r/>
      <w:bookmarkStart w:id="320" w:name="_Ref125362900"/>
      <w:r/>
      <w:bookmarkEnd w:id="317"/>
      <w:r>
        <w:t xml:space="preserve">Приложение № </w:t>
      </w:r>
      <w:r>
        <w:t xml:space="preserve">4</w:t>
      </w:r>
      <w:r>
        <w:t xml:space="preserve"> </w:t>
      </w:r>
      <w:r>
        <w:t xml:space="preserve">– </w:t>
      </w:r>
      <w:r>
        <w:t xml:space="preserve">Образцы форм документов, включаемых в состав заявки</w:t>
      </w:r>
      <w:bookmarkEnd w:id="318"/>
      <w:r/>
      <w:r/>
    </w:p>
    <w:p>
      <w:pPr>
        <w:pStyle w:val="1068"/>
      </w:pPr>
      <w:r/>
      <w:bookmarkStart w:id="321" w:name="_Toc224744367"/>
      <w:r>
        <w:t xml:space="preserve">Пояснения к Образца</w:t>
      </w:r>
      <w:r>
        <w:t xml:space="preserve">м</w:t>
      </w:r>
      <w:r>
        <w:t xml:space="preserve"> форм документов, включаемых в состав заявки</w:t>
      </w:r>
      <w:bookmarkEnd w:id="321"/>
      <w:r/>
      <w:r/>
    </w:p>
    <w:p>
      <w:pPr>
        <w:pStyle w:val="1069"/>
      </w:pPr>
      <w:r>
        <w:t xml:space="preserve">Образцы форм документов, включаемых в состав заявки</w:t>
      </w:r>
      <w:r>
        <w:t xml:space="preserve"> (с инструкциями по их оформлению)</w:t>
      </w:r>
      <w:r>
        <w:t xml:space="preserve">, приведены в</w:t>
      </w:r>
      <w:r>
        <w:t xml:space="preserve"> </w:t>
      </w:r>
      <w:r>
        <w:t xml:space="preserve">отдельном файле </w:t>
      </w:r>
      <w:r>
        <w:t xml:space="preserve">(</w:t>
      </w:r>
      <w:r>
        <w:t xml:space="preserve">предоставляются отдельным документом в составе Документации о</w:t>
      </w:r>
      <w:r>
        <w:t xml:space="preserve"> </w:t>
      </w:r>
      <w:r>
        <w:t xml:space="preserve">закупке</w:t>
      </w:r>
      <w:r>
        <w:t xml:space="preserve">)</w:t>
      </w:r>
      <w:r>
        <w:t xml:space="preserve">, </w:t>
      </w:r>
      <w:r>
        <w:t xml:space="preserve">являющимся Приложением № </w:t>
      </w:r>
      <w:r>
        <w:t xml:space="preserve">4</w:t>
      </w:r>
      <w:r>
        <w:t xml:space="preserve"> к Документации о</w:t>
      </w:r>
      <w:r>
        <w:t xml:space="preserve"> </w:t>
      </w:r>
      <w:r>
        <w:t xml:space="preserve">закупке.</w:t>
      </w:r>
      <w:r>
        <w:t xml:space="preserve"> </w:t>
      </w:r>
      <w:bookmarkStart w:id="322" w:name="_Hlk207818315"/>
      <w:r>
        <w:t xml:space="preserve">Участник при подготовке заявк</w:t>
      </w:r>
      <w:r>
        <w:t xml:space="preserve">и</w:t>
      </w:r>
      <w:r>
        <w:t xml:space="preserve"> обязан придерживаться установленных форм документов</w:t>
      </w:r>
      <w:bookmarkEnd w:id="322"/>
      <w:r>
        <w:t xml:space="preserve">.</w:t>
      </w:r>
      <w:r/>
    </w:p>
    <w:p>
      <w:pPr>
        <w:pStyle w:val="1067"/>
      </w:pPr>
      <w:r/>
      <w:bookmarkStart w:id="323" w:name="Прил05_ФормыПобедителя"/>
      <w:r/>
      <w:bookmarkStart w:id="324" w:name="_Toc224744368"/>
      <w:r/>
      <w:bookmarkEnd w:id="323"/>
      <w:r>
        <w:t xml:space="preserve">Приложение № 5 </w:t>
      </w:r>
      <w:r>
        <w:t xml:space="preserve">– </w:t>
      </w:r>
      <w:r>
        <w:t xml:space="preserve">Образцы форм документов, предоставляемых Победителем</w:t>
      </w:r>
      <w:bookmarkEnd w:id="324"/>
      <w:r/>
      <w:r/>
    </w:p>
    <w:p>
      <w:pPr>
        <w:pStyle w:val="1068"/>
      </w:pPr>
      <w:r/>
      <w:bookmarkStart w:id="325" w:name="_Toc224744369"/>
      <w:r>
        <w:t xml:space="preserve">Пояснения к Образцам форм документов, предоставляемых Победителем</w:t>
      </w:r>
      <w:bookmarkEnd w:id="325"/>
      <w:r/>
      <w:r/>
    </w:p>
    <w:p>
      <w:pPr>
        <w:pStyle w:val="1069"/>
      </w:pPr>
      <w:r/>
      <w:bookmarkStart w:id="326" w:name="_Hlk149319349"/>
      <w:r>
        <w:t xml:space="preserve">Образцы форм документов, предоставляемых Победителем (или </w:t>
      </w:r>
      <w:r>
        <w:t xml:space="preserve">Единственным </w:t>
      </w:r>
      <w:r>
        <w:t xml:space="preserve">участником, в случае признания закупки несостоявшейся и принятия решения о </w:t>
      </w:r>
      <w:r>
        <w:t xml:space="preserve">заключ</w:t>
      </w:r>
      <w:r>
        <w:t xml:space="preserve">ени</w:t>
      </w:r>
      <w:r>
        <w:t xml:space="preserve">и</w:t>
      </w:r>
      <w:r>
        <w:t xml:space="preserve"> договор</w:t>
      </w:r>
      <w:r>
        <w:t xml:space="preserve">а</w:t>
      </w:r>
      <w:r>
        <w:t xml:space="preserve"> с </w:t>
      </w:r>
      <w:r>
        <w:t xml:space="preserve">ее </w:t>
      </w:r>
      <w:r>
        <w:t xml:space="preserve">Е</w:t>
      </w:r>
      <w:r>
        <w:t xml:space="preserve">динственным </w:t>
      </w:r>
      <w:r>
        <w:t xml:space="preserve">у</w:t>
      </w:r>
      <w:r>
        <w:t xml:space="preserve">частником</w:t>
      </w:r>
      <w:r>
        <w:t xml:space="preserve">), а</w:t>
      </w:r>
      <w:r>
        <w:t xml:space="preserve"> </w:t>
      </w:r>
      <w:r>
        <w:t xml:space="preserve">также дополнительные пояснения по их предоставлению и инструкции по их оформлению</w:t>
      </w:r>
      <w:bookmarkEnd w:id="326"/>
      <w:r>
        <w:t xml:space="preserve">, приведены в подразделах </w:t>
      </w:r>
      <w:r>
        <w:fldChar w:fldCharType="begin"/>
      </w:r>
      <w:r>
        <w:instrText xml:space="preserve"> REF _Ref130395470 \r \h </w:instrText>
      </w:r>
      <w:r>
        <w:fldChar w:fldCharType="separate"/>
      </w:r>
      <w:r>
        <w:t xml:space="preserve">10.2</w:t>
      </w:r>
      <w:r>
        <w:fldChar w:fldCharType="end"/>
      </w:r>
      <w:r>
        <w:t xml:space="preserve">, </w:t>
      </w:r>
      <w:r>
        <w:fldChar w:fldCharType="begin"/>
      </w:r>
      <w:r>
        <w:instrText xml:space="preserve"> REF _Ref130395475 \r \h </w:instrText>
      </w:r>
      <w:r>
        <w:fldChar w:fldCharType="separate"/>
      </w:r>
      <w:r>
        <w:t xml:space="preserve">10.3</w:t>
      </w:r>
      <w:r>
        <w:fldChar w:fldCharType="end"/>
      </w:r>
      <w:r>
        <w:t xml:space="preserve">.</w:t>
      </w:r>
      <w:r/>
    </w:p>
    <w:p>
      <w:pPr>
        <w:pStyle w:val="1068"/>
      </w:pPr>
      <w:r/>
      <w:bookmarkStart w:id="327" w:name="_Ref130395470"/>
      <w:r/>
      <w:bookmarkStart w:id="328" w:name="_Toc224744370"/>
      <w:r>
        <w:t xml:space="preserve">Форма справки «Сведения о цепочке собственников, включая бенефициаров (в том числе конечных)»</w:t>
      </w:r>
      <w:bookmarkEnd w:id="327"/>
      <w:r/>
      <w:bookmarkEnd w:id="328"/>
      <w:r/>
      <w:r/>
    </w:p>
    <w:p>
      <w:pPr>
        <w:pStyle w:val="1069"/>
      </w:pPr>
      <w:r>
        <w:t xml:space="preserve">Справка «Сведения о цепочке собственников, включая бенефициаров (в том числе конечных)» предоставляется Победителем закупки (поставщиком).</w:t>
      </w:r>
      <w:r/>
    </w:p>
    <w:p>
      <w:pPr>
        <w:pStyle w:val="1069"/>
      </w:pPr>
      <w:r>
        <w:t xml:space="preserve">Форма справки «Сведения о цепочке собственников, включая бенефициаров (в том числе конечных)» </w:t>
      </w:r>
      <w:r>
        <w:rPr>
          <w:lang w:val="en-US"/>
        </w:rPr>
        <w:t xml:space="preserve">c</w:t>
      </w:r>
      <w:r>
        <w:t xml:space="preserve"> </w:t>
      </w:r>
      <w:r>
        <w:t xml:space="preserve">приложением 1 «</w:t>
      </w:r>
      <w:r>
        <w:t xml:space="preserve">Перечень подтверждающих документов</w:t>
      </w:r>
      <w:r>
        <w:t xml:space="preserve">» и приложением 2 «Согласие на обработку и передачу персональных и иных охраняемых законом данных» приведена в отдельном файле в формате </w:t>
      </w:r>
      <w:r>
        <w:rPr>
          <w:lang w:val="en-US"/>
        </w:rPr>
        <w:t xml:space="preserve">Microsoft</w:t>
      </w:r>
      <w:r>
        <w:t xml:space="preserve"> </w:t>
      </w:r>
      <w:r>
        <w:rPr>
          <w:lang w:val="en-US"/>
        </w:rPr>
        <w:t xml:space="preserve">Word</w:t>
      </w:r>
      <w:r>
        <w:t xml:space="preserve">:</w:t>
      </w:r>
      <w:r/>
    </w:p>
    <w:p>
      <w:pPr>
        <w:pStyle w:val="1073"/>
        <w:jc w:val="center"/>
      </w:pPr>
      <w:r/>
      <w:bookmarkStart w:id="329" w:name="_Hlk207818329"/>
      <w:r/>
      <w:bookmarkStart w:id="330" w:name="_MON_1805621314"/>
      <w:r/>
      <w:bookmarkEnd w:id="330"/>
      <w:r>
        <mc:AlternateContent>
          <mc:Choice Requires="wpg">
            <w:drawing>
              <wp:inline xmlns:wp="http://schemas.openxmlformats.org/drawingml/2006/wordprocessingDrawing" distT="0" distB="0" distL="0" distR="0">
                <wp:extent cx="967105" cy="617220"/>
                <wp:effectExtent l="0" t="0" r="0" b="0"/>
                <wp:docPr id="3" name="_x0000_i2"/>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1">
                          <a:extLst>
                            <a:ext uri="{96DAC541-7B7A-43D3-8B79-37D633B846F1}">
                              <asvg:svgBlip xmlns:asvg="http://schemas.microsoft.com/office/drawing/2016/SVG/main" r:embed="rId22"/>
                            </a:ext>
                          </a:extLst>
                        </a:blip>
                        <a:stretch/>
                      </pic:blipFill>
                      <pic:spPr bwMode="auto">
                        <a:xfrm>
                          <a:off x="0" y="0"/>
                          <a:ext cx="967105" cy="61722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width:76.15pt;height:48.60pt;mso-wrap-distance-left:0.00pt;mso-wrap-distance-top:0.00pt;mso-wrap-distance-right:0.00pt;mso-wrap-distance-bottom:0.00pt;" stroked="f">
                <v:path textboxrect="0,0,0,0"/>
                <v:imagedata r:id="rId21" o:title=""/>
              </v:shape>
            </w:pict>
          </mc:Fallback>
        </mc:AlternateContent>
      </w:r>
      <w:bookmarkEnd w:id="329"/>
      <w:r/>
      <w:r/>
    </w:p>
    <w:p>
      <w:pPr>
        <w:pStyle w:val="1068"/>
      </w:pPr>
      <w:r/>
      <w:bookmarkStart w:id="331" w:name="_Ref130395475"/>
      <w:r/>
      <w:bookmarkStart w:id="332" w:name="_Toc224744371"/>
      <w:r>
        <w:t xml:space="preserve">Форма «Заверение об обстоятельствах»</w:t>
      </w:r>
      <w:bookmarkEnd w:id="331"/>
      <w:r/>
      <w:bookmarkEnd w:id="332"/>
      <w:r/>
      <w:r/>
    </w:p>
    <w:p>
      <w:pPr>
        <w:pStyle w:val="1069"/>
      </w:pPr>
      <w:r>
        <w:t xml:space="preserve">Форма Заверени</w:t>
      </w:r>
      <w:r>
        <w:t xml:space="preserve">я</w:t>
      </w:r>
      <w:r>
        <w:t xml:space="preserve"> об обстоятельствах предоставляется Победителем закупки (поставщиком) только при заключении договоров стоимостью свыше 100 000</w:t>
      </w:r>
      <w:r>
        <w:rPr>
          <w:lang w:val="en-US"/>
        </w:rPr>
        <w:t xml:space="preserve"> </w:t>
      </w:r>
      <w:r>
        <w:t xml:space="preserve">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lang w:val="en-US"/>
        </w:rPr>
        <w:t xml:space="preserve"> </w:t>
      </w:r>
      <w:r>
        <w:t xml:space="preserve">(трех) рабочих дней с даты официального размещения Организатором итогового протокола по результатам закупки.</w:t>
      </w:r>
      <w:r/>
    </w:p>
    <w:p>
      <w:pPr>
        <w:pStyle w:val="1069"/>
      </w:pPr>
      <w:r>
        <w:t xml:space="preserve">Победител</w:t>
      </w:r>
      <w:r>
        <w:t xml:space="preserve">ь</w:t>
      </w:r>
      <w:r>
        <w:t xml:space="preserve">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w:t>
      </w:r>
      <w:r>
        <w:t xml:space="preserve">у</w:t>
      </w:r>
      <w:r>
        <w:t xml:space="preserve">ставом, внутренними документами и отдельными решениями органов управления Поставщика, для</w:t>
      </w:r>
      <w:r>
        <w:t xml:space="preserve"> </w:t>
      </w:r>
      <w:r>
        <w:t xml:space="preserve">последующего заключения Договора по предмету настоящей закупки.</w:t>
      </w:r>
      <w:r/>
    </w:p>
    <w:p>
      <w:pPr>
        <w:pStyle w:val="1069"/>
      </w:pPr>
      <w:r>
        <w:t xml:space="preserve">Заверение об обстоятельствах следует оформить на официальном бланке Победителя закупки (поставщика) (с указанием даты и</w:t>
      </w:r>
      <w:r>
        <w:t xml:space="preserve">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r/>
    </w:p>
    <w:p>
      <w:pPr>
        <w:pStyle w:val="1069"/>
        <w:keepNext/>
      </w:pPr>
      <w:r>
        <w:t xml:space="preserve">Форма «Заверение об обстоятельствах» приведена в отдельном файле в формате </w:t>
      </w:r>
      <w:r>
        <w:rPr>
          <w:lang w:val="en-US"/>
        </w:rPr>
        <w:t xml:space="preserve">Microsoft</w:t>
      </w:r>
      <w:r>
        <w:t xml:space="preserve"> </w:t>
      </w:r>
      <w:r>
        <w:rPr>
          <w:lang w:val="en-US"/>
        </w:rPr>
        <w:t xml:space="preserve">Word</w:t>
      </w:r>
      <w:r>
        <w:t xml:space="preserve">:</w:t>
      </w:r>
      <w:r/>
    </w:p>
    <w:p>
      <w:pPr>
        <w:pStyle w:val="1073"/>
        <w:jc w:val="center"/>
        <w:spacing w:after="120"/>
      </w:pPr>
      <w:r/>
      <w:bookmarkStart w:id="333" w:name="_MON_1741074184"/>
      <w:r/>
      <w:bookmarkEnd w:id="333"/>
      <w:r>
        <mc:AlternateContent>
          <mc:Choice Requires="wpg">
            <w:drawing>
              <wp:inline xmlns:wp="http://schemas.openxmlformats.org/drawingml/2006/wordprocessingDrawing" distT="0" distB="0" distL="0" distR="0">
                <wp:extent cx="1002030" cy="629285"/>
                <wp:effectExtent l="0" t="0" r="0" b="0"/>
                <wp:docPr id="4" name="_x0000_i3"/>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3">
                          <a:extLst>
                            <a:ext uri="{96DAC541-7B7A-43D3-8B79-37D633B846F1}">
                              <asvg:svgBlip xmlns:asvg="http://schemas.microsoft.com/office/drawing/2016/SVG/main" r:embed="rId24"/>
                            </a:ext>
                          </a:extLst>
                        </a:blip>
                        <a:stretch/>
                      </pic:blipFill>
                      <pic:spPr bwMode="auto">
                        <a:xfrm>
                          <a:off x="0" y="0"/>
                          <a:ext cx="1002030" cy="62928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 o:spid="_x0000_s3" type="#_x0000_t75" style="width:78.90pt;height:49.55pt;mso-wrap-distance-left:0.00pt;mso-wrap-distance-top:0.00pt;mso-wrap-distance-right:0.00pt;mso-wrap-distance-bottom:0.00pt;" stroked="f">
                <v:path textboxrect="0,0,0,0"/>
                <v:imagedata r:id="rId23" o:title=""/>
              </v:shape>
            </w:pict>
          </mc:Fallback>
        </mc:AlternateContent>
      </w:r>
      <w:r/>
    </w:p>
    <w:p>
      <w:pPr>
        <w:pStyle w:val="1067"/>
      </w:pPr>
      <w:r/>
      <w:bookmarkStart w:id="334" w:name="Прил06_СоставЗаявки"/>
      <w:r/>
      <w:bookmarkStart w:id="335" w:name="_Toc224744372"/>
      <w:r/>
      <w:bookmarkEnd w:id="334"/>
      <w:r>
        <w:t xml:space="preserve">Приложение №</w:t>
      </w:r>
      <w:r>
        <w:t xml:space="preserve"> </w:t>
      </w:r>
      <w:r>
        <w:t xml:space="preserve">6</w:t>
      </w:r>
      <w:r>
        <w:t xml:space="preserve"> – Состав заявки</w:t>
      </w:r>
      <w:bookmarkEnd w:id="319"/>
      <w:r/>
      <w:bookmarkEnd w:id="320"/>
      <w:r/>
      <w:bookmarkEnd w:id="335"/>
      <w:r/>
      <w:r/>
    </w:p>
    <w:p>
      <w:pPr>
        <w:pStyle w:val="1068"/>
      </w:pPr>
      <w:r/>
      <w:bookmarkStart w:id="336" w:name="_Toc224744373"/>
      <w:r>
        <w:t xml:space="preserve">Состав заявки</w:t>
      </w:r>
      <w:bookmarkEnd w:id="336"/>
      <w:r/>
      <w:r/>
    </w:p>
    <w:p>
      <w:pPr>
        <w:pStyle w:val="1069"/>
        <w:spacing w:after="120"/>
      </w:pPr>
      <w:r>
        <w:t xml:space="preserve">Заявка на участие в закупке должна содержать следующий комплект документов</w:t>
      </w:r>
      <w:r>
        <w:t xml:space="preserve"> (</w:t>
      </w:r>
      <w:bookmarkStart w:id="337" w:name="_Hlk207818365"/>
      <w:r>
        <w:t xml:space="preserve">по установленным формам и в соответствии с инструкциями, приведенными</w:t>
      </w:r>
      <w:bookmarkEnd w:id="337"/>
      <w:r>
        <w:t xml:space="preserve"> в </w:t>
      </w:r>
      <w:hyperlink w:tooltip="#Прил04_ФормыЗаявки" w:anchor="Прил04_ФормыЗаявки" w:history="1">
        <w:r>
          <w:rPr>
            <w:rStyle w:val="1097"/>
          </w:rPr>
          <w:t xml:space="preserve">Приложени</w:t>
        </w:r>
        <w:r>
          <w:rPr>
            <w:rStyle w:val="1097"/>
          </w:rPr>
          <w:t xml:space="preserve">и</w:t>
        </w:r>
        <w:r>
          <w:rPr>
            <w:rStyle w:val="1097"/>
          </w:rPr>
          <w:t xml:space="preserve"> № </w:t>
        </w:r>
        <w:r>
          <w:rPr>
            <w:rStyle w:val="1097"/>
          </w:rPr>
          <w:t xml:space="preserve">4</w:t>
        </w:r>
      </w:hyperlink>
      <w:r>
        <w:t xml:space="preserve">)</w:t>
      </w:r>
      <w:r>
        <w:t xml:space="preserve">:</w:t>
      </w:r>
      <w:r/>
    </w:p>
    <w:tbl>
      <w:tblPr>
        <w:tblStyle w:val="1094"/>
        <w:tblW w:w="0" w:type="auto"/>
        <w:tblInd w:w="1129" w:type="dxa"/>
        <w:tblLook w:val="04A0" w:firstRow="1" w:lastRow="0" w:firstColumn="1" w:lastColumn="0" w:noHBand="0" w:noVBand="1"/>
      </w:tblPr>
      <w:tblGrid>
        <w:gridCol w:w="709"/>
        <w:gridCol w:w="8074"/>
      </w:tblGrid>
      <w:tr>
        <w:tblPrEx/>
        <w:trPr/>
        <w:tc>
          <w:tcPr>
            <w:tcW w:w="709" w:type="dxa"/>
            <w:textDirection w:val="lrTb"/>
            <w:noWrap w:val="false"/>
          </w:tcPr>
          <w:p>
            <w:pPr>
              <w:pStyle w:val="1073"/>
              <w:jc w:val="center"/>
            </w:pPr>
            <w:r>
              <w:t xml:space="preserve">№</w:t>
            </w:r>
            <w:r>
              <w:br/>
              <w:t xml:space="preserve">п/п</w:t>
            </w:r>
            <w:r/>
          </w:p>
        </w:tc>
        <w:tc>
          <w:tcPr>
            <w:tcW w:w="8074" w:type="dxa"/>
            <w:textDirection w:val="lrTb"/>
            <w:noWrap w:val="false"/>
          </w:tcPr>
          <w:p>
            <w:pPr>
              <w:pStyle w:val="1073"/>
              <w:jc w:val="center"/>
            </w:pPr>
            <w:r>
              <w:t xml:space="preserve">Наименование документа</w:t>
            </w:r>
            <w:r/>
          </w:p>
        </w:tc>
      </w:tr>
      <w:tr>
        <w:tblPrEx/>
        <w:trPr/>
        <w:tc>
          <w:tcPr>
            <w:tcW w:w="709" w:type="dxa"/>
            <w:textDirection w:val="lrTb"/>
            <w:noWrap w:val="false"/>
          </w:tcPr>
          <w:p>
            <w:pPr>
              <w:pStyle w:val="1073"/>
              <w:numPr>
                <w:ilvl w:val="0"/>
                <w:numId w:val="8"/>
              </w:numPr>
              <w:ind w:left="170" w:firstLine="0"/>
              <w:jc w:val="center"/>
            </w:pPr>
            <w:r/>
            <w:r/>
          </w:p>
        </w:tc>
        <w:tc>
          <w:tcPr>
            <w:tcW w:w="8074" w:type="dxa"/>
            <w:textDirection w:val="lrTb"/>
            <w:noWrap w:val="false"/>
          </w:tcPr>
          <w:p>
            <w:pPr>
              <w:pStyle w:val="1073"/>
            </w:pPr>
            <w:r>
              <w:t xml:space="preserve">Опись документов (форма 1) – носит рекомендательный характер и не обязательна к предоставлению в составе заявки;</w:t>
            </w:r>
            <w:r/>
          </w:p>
        </w:tc>
      </w:tr>
      <w:tr>
        <w:tblPrEx/>
        <w:trPr/>
        <w:tc>
          <w:tcPr>
            <w:tcW w:w="709" w:type="dxa"/>
            <w:textDirection w:val="lrTb"/>
            <w:noWrap w:val="false"/>
          </w:tcPr>
          <w:p>
            <w:pPr>
              <w:pStyle w:val="1073"/>
              <w:numPr>
                <w:ilvl w:val="0"/>
                <w:numId w:val="8"/>
              </w:numPr>
              <w:ind w:left="170" w:firstLine="0"/>
              <w:jc w:val="center"/>
            </w:pPr>
            <w:r/>
            <w:r/>
          </w:p>
        </w:tc>
        <w:tc>
          <w:tcPr>
            <w:tcW w:w="8074" w:type="dxa"/>
            <w:textDirection w:val="lrTb"/>
            <w:noWrap w:val="false"/>
          </w:tcPr>
          <w:p>
            <w:pPr>
              <w:pStyle w:val="1073"/>
            </w:pPr>
            <w:r>
              <w:t xml:space="preserve">Письмо о подаче оферты (форма 2);</w:t>
            </w:r>
            <w:r/>
          </w:p>
        </w:tc>
      </w:tr>
      <w:tr>
        <w:tblPrEx/>
        <w:trPr/>
        <w:tc>
          <w:tcPr>
            <w:tcW w:w="709" w:type="dxa"/>
            <w:textDirection w:val="lrTb"/>
            <w:noWrap w:val="false"/>
          </w:tcPr>
          <w:p>
            <w:pPr>
              <w:pStyle w:val="1073"/>
              <w:numPr>
                <w:ilvl w:val="0"/>
                <w:numId w:val="8"/>
              </w:numPr>
              <w:ind w:left="170" w:firstLine="0"/>
              <w:jc w:val="center"/>
            </w:pPr>
            <w:r/>
            <w:r/>
          </w:p>
        </w:tc>
        <w:tc>
          <w:tcPr>
            <w:tcW w:w="8074" w:type="dxa"/>
            <w:textDirection w:val="lrTb"/>
            <w:noWrap w:val="false"/>
          </w:tcPr>
          <w:p>
            <w:pPr>
              <w:pStyle w:val="1073"/>
            </w:pPr>
            <w:r>
              <w:t xml:space="preserve">Копия независимой гарантии – предоставляется при необходимости и в</w:t>
            </w:r>
            <w:r>
              <w:t xml:space="preserve"> </w:t>
            </w:r>
            <w:r>
              <w:t xml:space="preserve">случае отсутствия внесенных Участником денежных средств на</w:t>
            </w:r>
            <w:r>
              <w:t xml:space="preserve"> </w:t>
            </w:r>
            <w:r>
              <w:t xml:space="preserve">специальный банковский счет;</w:t>
            </w:r>
            <w:r/>
          </w:p>
        </w:tc>
      </w:tr>
      <w:tr>
        <w:tblPrEx/>
        <w:trPr/>
        <w:tc>
          <w:tcPr>
            <w:tcW w:w="709" w:type="dxa"/>
            <w:textDirection w:val="lrTb"/>
            <w:noWrap w:val="false"/>
          </w:tcPr>
          <w:p>
            <w:pPr>
              <w:pStyle w:val="1073"/>
              <w:numPr>
                <w:ilvl w:val="0"/>
                <w:numId w:val="8"/>
              </w:numPr>
              <w:ind w:left="170" w:firstLine="0"/>
              <w:jc w:val="center"/>
            </w:pPr>
            <w:r/>
            <w:r/>
          </w:p>
        </w:tc>
        <w:tc>
          <w:tcPr>
            <w:tcW w:w="8074" w:type="dxa"/>
            <w:textDirection w:val="lrTb"/>
            <w:noWrap w:val="false"/>
          </w:tcPr>
          <w:p>
            <w:pPr>
              <w:pStyle w:val="1073"/>
            </w:pPr>
            <w:r>
              <w:t xml:space="preserve">Коммерческое предложение</w:t>
            </w:r>
            <w:r>
              <w:t xml:space="preserve"> (включая Структуру НМЦ)</w:t>
            </w:r>
            <w:r>
              <w:t xml:space="preserve"> (форма 3)</w:t>
            </w:r>
            <w:r>
              <w:t xml:space="preserve">;</w:t>
            </w:r>
            <w:r>
              <w:t xml:space="preserve"> также дополнительно предоставля</w:t>
            </w:r>
            <w:r>
              <w:t xml:space="preserve">е</w:t>
            </w:r>
            <w:r>
              <w:t xml:space="preserve">тся</w:t>
            </w:r>
            <w:r>
              <w:t xml:space="preserve"> </w:t>
            </w:r>
            <w:r>
              <w:t xml:space="preserve">подтверждающая документация, составленная в</w:t>
            </w:r>
            <w:r>
              <w:t xml:space="preserve"> </w:t>
            </w:r>
            <w:r>
              <w:t xml:space="preserve">соответствии с</w:t>
            </w:r>
            <w:r>
              <w:t xml:space="preserve"> </w:t>
            </w:r>
            <w:hyperlink w:tooltip="#Прил01_ТехТребования" w:anchor="Прил01_ТехТребования" w:history="1">
              <w:r>
                <w:rPr>
                  <w:rStyle w:val="1097"/>
                </w:rPr>
                <w:t xml:space="preserve">Технически</w:t>
              </w:r>
              <w:r>
                <w:rPr>
                  <w:rStyle w:val="1097"/>
                </w:rPr>
                <w:t xml:space="preserve">ми</w:t>
              </w:r>
              <w:r>
                <w:rPr>
                  <w:rStyle w:val="1097"/>
                </w:rPr>
                <w:t xml:space="preserve"> требования</w:t>
              </w:r>
              <w:r>
                <w:rPr>
                  <w:rStyle w:val="1097"/>
                </w:rPr>
                <w:t xml:space="preserve">ми (Приложение № 1)</w:t>
              </w:r>
            </w:hyperlink>
            <w:r>
              <w:t xml:space="preserve"> – </w:t>
            </w:r>
            <w:r>
              <w:t xml:space="preserve">только</w:t>
            </w:r>
            <w:r>
              <w:t xml:space="preserve"> если в</w:t>
            </w:r>
            <w:r>
              <w:t xml:space="preserve"> </w:t>
            </w:r>
            <w:r>
              <w:t xml:space="preserve">Технических требованиях установлены требования к</w:t>
            </w:r>
            <w:r>
              <w:t xml:space="preserve"> </w:t>
            </w:r>
            <w:r>
              <w:t xml:space="preserve">документации по</w:t>
            </w:r>
            <w:r>
              <w:t xml:space="preserve"> </w:t>
            </w:r>
            <w:r>
              <w:t xml:space="preserve">ценообразованию</w:t>
            </w:r>
            <w:r>
              <w:t xml:space="preserve"> (подраздел «</w:t>
            </w:r>
            <w:r>
              <w:t xml:space="preserve">Требования к</w:t>
            </w:r>
            <w:r>
              <w:t xml:space="preserve"> </w:t>
            </w:r>
            <w:r>
              <w:t xml:space="preserve">документации по</w:t>
            </w:r>
            <w:r>
              <w:t xml:space="preserve"> </w:t>
            </w:r>
            <w:r>
              <w:t xml:space="preserve">ценообразованию на этапе закупки</w:t>
            </w:r>
            <w:r>
              <w:t xml:space="preserve">»)</w:t>
            </w:r>
            <w:r>
              <w:t xml:space="preserve"> либо аналогичн</w:t>
            </w:r>
            <w:r>
              <w:t xml:space="preserve">ые</w:t>
            </w:r>
            <w:r>
              <w:t xml:space="preserve"> по смыслу</w:t>
            </w:r>
            <w:r>
              <w:t xml:space="preserve">;</w:t>
            </w:r>
            <w:r/>
          </w:p>
        </w:tc>
      </w:tr>
      <w:tr>
        <w:tblPrEx/>
        <w:trPr/>
        <w:tc>
          <w:tcPr>
            <w:tcW w:w="709" w:type="dxa"/>
            <w:textDirection w:val="lrTb"/>
            <w:noWrap w:val="false"/>
          </w:tcPr>
          <w:p>
            <w:pPr>
              <w:pStyle w:val="1073"/>
              <w:numPr>
                <w:ilvl w:val="0"/>
                <w:numId w:val="8"/>
              </w:numPr>
              <w:ind w:left="170" w:firstLine="0"/>
              <w:jc w:val="center"/>
            </w:pPr>
            <w:r/>
            <w:r/>
          </w:p>
        </w:tc>
        <w:tc>
          <w:tcPr>
            <w:tcW w:w="8074" w:type="dxa"/>
            <w:textDirection w:val="lrTb"/>
            <w:noWrap w:val="false"/>
          </w:tcPr>
          <w:p>
            <w:pPr>
              <w:pStyle w:val="1073"/>
            </w:pPr>
            <w:r>
              <w:t xml:space="preserve">Техническое предложение (форма 4)</w:t>
            </w:r>
            <w:r>
              <w:t xml:space="preserve">, </w:t>
            </w:r>
            <w:r>
              <w:t xml:space="preserve">которое в том числе может включать План распределения объемов поставки продукции </w:t>
            </w:r>
            <w:r>
              <w:rPr>
                <w:i/>
                <w:iCs/>
              </w:rPr>
              <w:t xml:space="preserve">(без</w:t>
            </w:r>
            <w:r>
              <w:rPr>
                <w:i/>
                <w:iCs/>
              </w:rPr>
              <w:t xml:space="preserve"> </w:t>
            </w:r>
            <w:r>
              <w:rPr>
                <w:i/>
                <w:iCs/>
              </w:rPr>
              <w:t xml:space="preserve">указания сведений, позволяющих каким-либо образом идентифицировать генеральн</w:t>
            </w:r>
            <w:r>
              <w:rPr>
                <w:i/>
                <w:iCs/>
              </w:rPr>
              <w:t xml:space="preserve">ого</w:t>
            </w:r>
            <w:r>
              <w:rPr>
                <w:i/>
                <w:iCs/>
              </w:rPr>
              <w:t xml:space="preserve"> подрядчик</w:t>
            </w:r>
            <w:r>
              <w:rPr>
                <w:i/>
                <w:iCs/>
              </w:rPr>
              <w:t xml:space="preserve">а</w:t>
            </w:r>
            <w:r>
              <w:rPr>
                <w:i/>
                <w:iCs/>
              </w:rPr>
              <w:t xml:space="preserve"> или привлекаемого им субподрядчика / соисполнителя)</w:t>
            </w:r>
            <w:r>
              <w:t xml:space="preserve">;</w:t>
            </w:r>
            <w:r/>
          </w:p>
        </w:tc>
      </w:tr>
      <w:tr>
        <w:tblPrEx/>
        <w:trPr/>
        <w:tc>
          <w:tcPr>
            <w:tcW w:w="709" w:type="dxa"/>
            <w:textDirection w:val="lrTb"/>
            <w:noWrap w:val="false"/>
          </w:tcPr>
          <w:p>
            <w:pPr>
              <w:pStyle w:val="1073"/>
              <w:numPr>
                <w:ilvl w:val="0"/>
                <w:numId w:val="8"/>
              </w:numPr>
              <w:ind w:left="170" w:firstLine="0"/>
              <w:jc w:val="center"/>
            </w:pPr>
            <w:r/>
            <w:r/>
          </w:p>
        </w:tc>
        <w:tc>
          <w:tcPr>
            <w:tcW w:w="8074" w:type="dxa"/>
            <w:textDirection w:val="lrTb"/>
            <w:noWrap w:val="false"/>
          </w:tcPr>
          <w:p>
            <w:pPr>
              <w:pStyle w:val="1073"/>
            </w:pPr>
            <w:r>
              <w:t xml:space="preserve">Анкета Участника (форма </w:t>
            </w:r>
            <w:r>
              <w:t xml:space="preserve">5</w:t>
            </w:r>
            <w:r>
              <w:t xml:space="preserve">);</w:t>
            </w:r>
            <w:r/>
          </w:p>
        </w:tc>
      </w:tr>
      <w:tr>
        <w:tblPrEx/>
        <w:trPr/>
        <w:tc>
          <w:tcPr>
            <w:tcW w:w="709" w:type="dxa"/>
            <w:textDirection w:val="lrTb"/>
            <w:noWrap w:val="false"/>
          </w:tcPr>
          <w:p>
            <w:pPr>
              <w:pStyle w:val="1073"/>
              <w:numPr>
                <w:ilvl w:val="0"/>
                <w:numId w:val="8"/>
              </w:numPr>
              <w:ind w:left="170" w:firstLine="0"/>
              <w:jc w:val="center"/>
            </w:pPr>
            <w:r/>
            <w:r/>
          </w:p>
        </w:tc>
        <w:tc>
          <w:tcPr>
            <w:tcW w:w="8074" w:type="dxa"/>
            <w:textDirection w:val="lrTb"/>
            <w:noWrap w:val="false"/>
          </w:tcPr>
          <w:p>
            <w:pPr>
              <w:jc w:val="both"/>
              <w:spacing w:before="120" w:after="0"/>
            </w:pPr>
            <w:r>
              <w:t xml:space="preserve">Документы, подтверждающие соответствие Участника обязательным требованиям Документации о закупке</w:t>
            </w:r>
            <w:r>
              <w:t xml:space="preserve"> (</w:t>
            </w: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t xml:space="preserve"> </w:t>
            </w:r>
            <w:hyperlink w:tooltip="#Прил03_ТребованияУчастникам" w:anchor="Прил03_ТребованияУчастникам" w:history="1">
              <w:r>
                <w:rPr>
                  <w:rStyle w:val="1097"/>
                </w:rPr>
                <w:t xml:space="preserve">Приложения № 3</w:t>
              </w:r>
            </w:hyperlink>
            <w:r>
              <w:t xml:space="preserve">)</w:t>
            </w:r>
            <w:r>
              <w:t xml:space="preserve">, а также необходимые документы для прохождения (при необходимости) процедуры аккредитации</w:t>
            </w:r>
            <w:r>
              <w:t xml:space="preserve"> </w:t>
            </w:r>
            <w:r>
              <w:t xml:space="preserve">– требования к</w:t>
            </w:r>
            <w:r>
              <w:t xml:space="preserve"> </w:t>
            </w:r>
            <w:r>
              <w:t xml:space="preserve">подтверждающим документам приведены в указанном подразделе</w:t>
            </w:r>
            <w:r>
              <w:t xml:space="preserve">;</w:t>
            </w:r>
            <w:r/>
          </w:p>
        </w:tc>
      </w:tr>
      <w:tr>
        <w:tblPrEx/>
        <w:trPr/>
        <w:tc>
          <w:tcPr>
            <w:tcW w:w="709" w:type="dxa"/>
            <w:textDirection w:val="lrTb"/>
            <w:noWrap w:val="false"/>
          </w:tcPr>
          <w:p>
            <w:pPr>
              <w:pStyle w:val="1073"/>
              <w:numPr>
                <w:ilvl w:val="0"/>
                <w:numId w:val="8"/>
              </w:numPr>
              <w:ind w:left="170" w:firstLine="0"/>
              <w:jc w:val="center"/>
            </w:pPr>
            <w:r/>
            <w:r/>
          </w:p>
        </w:tc>
        <w:tc>
          <w:tcPr>
            <w:tcW w:w="8074" w:type="dxa"/>
            <w:textDirection w:val="lrTb"/>
            <w:noWrap w:val="false"/>
          </w:tcPr>
          <w:p>
            <w:pPr>
              <w:pStyle w:val="1073"/>
            </w:pPr>
            <w:r>
              <w:t xml:space="preserve">Документы, подтверждающие соответствие Участника специальным требованиям</w:t>
            </w:r>
            <w:r>
              <w:t xml:space="preserve"> – предоставляются</w:t>
            </w:r>
            <w:r>
              <w:t xml:space="preserve">,</w:t>
            </w:r>
            <w:r>
              <w:t xml:space="preserve"> если соответствующие требования установлены в</w:t>
            </w:r>
            <w:r>
              <w:t xml:space="preserve"> Документации о закупке (подраздел </w:t>
            </w:r>
            <w:r>
              <w:fldChar w:fldCharType="begin"/>
            </w:r>
            <w:r>
              <w:instrText xml:space="preserve"> REF _Ref125709153 \r \h </w:instrText>
            </w:r>
            <w:r>
              <w:instrText xml:space="preserve"> \* MERGEFORMAT </w:instrText>
            </w:r>
            <w:r>
              <w:fldChar w:fldCharType="separate"/>
            </w:r>
            <w:r>
              <w:t xml:space="preserve">8.3</w:t>
            </w:r>
            <w:r>
              <w:fldChar w:fldCharType="end"/>
            </w:r>
            <w:r>
              <w:t xml:space="preserve"> </w:t>
            </w:r>
            <w:hyperlink w:tooltip="#Прил03_ТребованияУчастникам" w:anchor="Прил03_ТребованияУчастникам" w:history="1">
              <w:r>
                <w:rPr>
                  <w:rStyle w:val="1097"/>
                </w:rPr>
                <w:t xml:space="preserve">Приложения № 3</w:t>
              </w:r>
            </w:hyperlink>
            <w:r>
              <w:t xml:space="preserve">)</w:t>
            </w:r>
            <w:r>
              <w:t xml:space="preserve">;</w:t>
            </w:r>
            <w:r/>
          </w:p>
        </w:tc>
      </w:tr>
      <w:tr>
        <w:tblPrEx/>
        <w:trPr/>
        <w:tc>
          <w:tcPr>
            <w:tcW w:w="709" w:type="dxa"/>
            <w:textDirection w:val="lrTb"/>
            <w:noWrap w:val="false"/>
          </w:tcPr>
          <w:p>
            <w:pPr>
              <w:pStyle w:val="1073"/>
              <w:numPr>
                <w:ilvl w:val="0"/>
                <w:numId w:val="8"/>
              </w:numPr>
              <w:ind w:left="170" w:firstLine="0"/>
              <w:jc w:val="center"/>
            </w:pPr>
            <w:r/>
            <w:r/>
          </w:p>
        </w:tc>
        <w:tc>
          <w:tcPr>
            <w:tcW w:w="8074" w:type="dxa"/>
            <w:textDirection w:val="lrTb"/>
            <w:noWrap w:val="false"/>
          </w:tcPr>
          <w:p>
            <w:pPr>
              <w:pStyle w:val="1073"/>
            </w:pPr>
            <w:r>
              <w:t xml:space="preserve">Документы, подтверждающие соответствие Генерального подрядчика требованиям Документации о закупке (подраздел </w:t>
            </w:r>
            <w:r>
              <w:fldChar w:fldCharType="begin"/>
            </w:r>
            <w:r>
              <w:instrText xml:space="preserve"> REF _Ref125709777 \r \h </w:instrText>
            </w:r>
            <w:r>
              <w:instrText xml:space="preserve"> \* MERGEFORMAT </w:instrText>
            </w:r>
            <w:r>
              <w:fldChar w:fldCharType="separate"/>
            </w:r>
            <w:r>
              <w:t xml:space="preserve">8.4</w:t>
            </w:r>
            <w:r>
              <w:fldChar w:fldCharType="end"/>
            </w:r>
            <w:r>
              <w:t xml:space="preserve"> </w:t>
            </w:r>
            <w:hyperlink w:tooltip="#Прил03_ТребованияУчастникам" w:anchor="Прил03_ТребованияУчастникам" w:history="1">
              <w:r>
                <w:rPr>
                  <w:rStyle w:val="1097"/>
                </w:rPr>
                <w:t xml:space="preserve">Приложения № 3</w:t>
              </w:r>
            </w:hyperlink>
            <w:r>
              <w:t xml:space="preserve">)</w:t>
            </w:r>
            <w:r>
              <w:t xml:space="preserve"> – </w:t>
            </w:r>
            <w:r>
              <w:t xml:space="preserve">предоставля</w:t>
            </w:r>
            <w:r>
              <w:t xml:space="preserve">ю</w:t>
            </w:r>
            <w:r>
              <w:t xml:space="preserve">тся</w:t>
            </w:r>
            <w:r>
              <w:t xml:space="preserve">, если</w:t>
            </w:r>
            <w:r>
              <w:t xml:space="preserve"> Участник подает заявку от</w:t>
            </w:r>
            <w:r>
              <w:t xml:space="preserve"> </w:t>
            </w:r>
            <w:r>
              <w:t xml:space="preserve">лица</w:t>
            </w:r>
            <w:r>
              <w:t xml:space="preserve"> Генерального подрядчика (подраздел </w:t>
            </w:r>
            <w:r>
              <w:fldChar w:fldCharType="begin"/>
            </w:r>
            <w:r>
              <w:instrText xml:space="preserve"> REF _Ref125361702 \r \h  \* MERGEFORMAT </w:instrText>
            </w:r>
            <w:r>
              <w:fldChar w:fldCharType="separate"/>
            </w:r>
            <w:r>
              <w:t xml:space="preserve">3.2</w:t>
            </w:r>
            <w:r>
              <w:fldChar w:fldCharType="end"/>
            </w:r>
            <w:r>
              <w:t xml:space="preserve">)</w:t>
            </w:r>
            <w:r>
              <w:t xml:space="preserve">, а</w:t>
            </w:r>
            <w:r>
              <w:t xml:space="preserve"> </w:t>
            </w:r>
            <w:r>
              <w:t xml:space="preserve">именно:</w:t>
            </w:r>
            <w:r/>
          </w:p>
          <w:p>
            <w:pPr>
              <w:pStyle w:val="1073"/>
              <w:numPr>
                <w:ilvl w:val="0"/>
                <w:numId w:val="12"/>
              </w:numPr>
              <w:ind w:left="284" w:hanging="284"/>
            </w:pPr>
            <w:r>
              <w:t xml:space="preserve">План распределения объемов поставки продукции, представленный внутри Технических требованиях (форма</w:t>
            </w:r>
            <w:r>
              <w:t xml:space="preserve"> </w:t>
            </w:r>
            <w:r>
              <w:t xml:space="preserve">4) (</w:t>
            </w:r>
            <w:hyperlink w:tooltip="#Прил04_ФормыЗаявки" w:anchor="Прил04_ФормыЗаявки" w:history="1">
              <w:r>
                <w:rPr>
                  <w:rStyle w:val="1097"/>
                </w:rPr>
                <w:t xml:space="preserve">Приложение № 4</w:t>
              </w:r>
            </w:hyperlink>
            <w:r>
              <w:t xml:space="preserve">)</w:t>
            </w:r>
            <w:r>
              <w:t xml:space="preserve">;</w:t>
            </w:r>
            <w:r/>
          </w:p>
          <w:p>
            <w:pPr>
              <w:pStyle w:val="1073"/>
              <w:numPr>
                <w:ilvl w:val="0"/>
                <w:numId w:val="12"/>
              </w:numPr>
              <w:ind w:left="284" w:hanging="284"/>
            </w:pPr>
            <w:r>
              <w:t xml:space="preserve">прочие документы, определенные в </w:t>
            </w:r>
            <w:r>
              <w:t xml:space="preserve">подраздел</w:t>
            </w:r>
            <w:r>
              <w:t xml:space="preserve">е</w:t>
            </w:r>
            <w:r>
              <w:t xml:space="preserve"> </w:t>
            </w:r>
            <w:r>
              <w:fldChar w:fldCharType="begin"/>
            </w:r>
            <w:r>
              <w:instrText xml:space="preserve"> REF _Ref125709777 \r \h </w:instrText>
            </w:r>
            <w:r>
              <w:instrText xml:space="preserve"> \* MERGEFORMAT </w:instrText>
            </w:r>
            <w:r>
              <w:fldChar w:fldCharType="separate"/>
            </w:r>
            <w:r>
              <w:t xml:space="preserve">8.4</w:t>
            </w:r>
            <w:r>
              <w:fldChar w:fldCharType="end"/>
            </w:r>
            <w:r>
              <w:t xml:space="preserve"> </w:t>
            </w:r>
            <w:hyperlink w:tooltip="#Прил03_ТребованияУчастникам" w:anchor="Прил03_ТребованияУчастникам" w:history="1">
              <w:r>
                <w:rPr>
                  <w:rStyle w:val="1097"/>
                </w:rPr>
                <w:t xml:space="preserve">Приложения № 3</w:t>
              </w:r>
            </w:hyperlink>
            <w:r>
              <w:rPr>
                <w:rStyle w:val="1097"/>
              </w:rPr>
              <w:t xml:space="preserve">;</w:t>
            </w:r>
            <w:r/>
          </w:p>
        </w:tc>
      </w:tr>
      <w:tr>
        <w:tblPrEx/>
        <w:trPr/>
        <w:tc>
          <w:tcPr>
            <w:tcW w:w="709" w:type="dxa"/>
            <w:textDirection w:val="lrTb"/>
            <w:noWrap w:val="false"/>
          </w:tcPr>
          <w:p>
            <w:pPr>
              <w:pStyle w:val="1073"/>
              <w:numPr>
                <w:ilvl w:val="0"/>
                <w:numId w:val="8"/>
              </w:numPr>
              <w:ind w:left="170" w:firstLine="0"/>
              <w:jc w:val="center"/>
            </w:pPr>
            <w:r/>
            <w:r/>
          </w:p>
        </w:tc>
        <w:tc>
          <w:tcPr>
            <w:tcW w:w="8074" w:type="dxa"/>
            <w:textDirection w:val="lrTb"/>
            <w:noWrap w:val="false"/>
          </w:tcPr>
          <w:p>
            <w:pPr>
              <w:pStyle w:val="1073"/>
            </w:pPr>
            <w:r>
              <w:t xml:space="preserve">Д</w:t>
            </w:r>
            <w:r>
              <w:t xml:space="preserve">окумент</w:t>
            </w:r>
            <w:r>
              <w:t xml:space="preserve">ы</w:t>
            </w:r>
            <w:r>
              <w:t xml:space="preserve"> (или их копии)</w:t>
            </w:r>
            <w:r>
              <w:t xml:space="preserve">, подтверждающи</w:t>
            </w:r>
            <w:r>
              <w:t xml:space="preserve">е</w:t>
            </w:r>
            <w:r>
              <w:t xml:space="preserve"> соответствие предлагаемой к</w:t>
            </w:r>
            <w:r>
              <w:t xml:space="preserve"> </w:t>
            </w:r>
            <w:r>
              <w:t xml:space="preserve">поставке продукции требованиям, установленным </w:t>
            </w:r>
            <w:r>
              <w:t xml:space="preserve">в</w:t>
            </w:r>
            <w:r>
              <w:t xml:space="preserve"> </w:t>
            </w:r>
            <w:hyperlink w:tooltip="#Прил01_ТехТребования" w:anchor="Прил01_ТехТребования" w:history="1">
              <w:r>
                <w:rPr>
                  <w:rStyle w:val="1097"/>
                </w:rPr>
                <w:t xml:space="preserve">Технических требованиях (Приложение № 1)</w:t>
              </w:r>
            </w:hyperlink>
            <w:r>
              <w:t xml:space="preserve"> – </w:t>
            </w:r>
            <w:r>
              <w:t xml:space="preserve">предоставля</w:t>
            </w:r>
            <w:r>
              <w:t xml:space="preserve">ю</w:t>
            </w:r>
            <w:r>
              <w:t xml:space="preserve">тся</w:t>
            </w:r>
            <w:r>
              <w:t xml:space="preserve">,</w:t>
            </w:r>
            <w:r>
              <w:t xml:space="preserve"> </w:t>
            </w:r>
            <w:r>
              <w:t xml:space="preserve">если в</w:t>
            </w:r>
            <w:r>
              <w:t xml:space="preserve"> </w:t>
            </w:r>
            <w:hyperlink w:tooltip="#Прил01_ТехТребования" w:anchor="Прил01_ТехТребования" w:history="1">
              <w:r>
                <w:rPr>
                  <w:rStyle w:val="1097"/>
                </w:rPr>
                <w:t xml:space="preserve">Технических требованиях (Приложение № 1)</w:t>
              </w:r>
            </w:hyperlink>
            <w:r>
              <w:t xml:space="preserve"> было установлено соответствующ</w:t>
            </w:r>
            <w:r>
              <w:t xml:space="preserve">е</w:t>
            </w:r>
            <w:r>
              <w:t xml:space="preserve">е требование</w:t>
            </w:r>
            <w:r>
              <w:t xml:space="preserve">.</w:t>
            </w:r>
            <w:r/>
          </w:p>
        </w:tc>
      </w:tr>
    </w:tbl>
    <w:p>
      <w:pPr>
        <w:pStyle w:val="1069"/>
        <w:rPr>
          <w:rStyle w:val="1078"/>
          <w:i w:val="0"/>
          <w:iCs w:val="0"/>
          <w:shd w:val="clear" w:color="auto" w:fill="auto"/>
        </w:rPr>
      </w:pPr>
      <w:r>
        <w:rPr>
          <w:rStyle w:val="1078"/>
          <w:i w:val="0"/>
          <w:iCs w:val="0"/>
          <w:shd w:val="clear" w:color="auto" w:fill="auto"/>
        </w:rPr>
        <w:t xml:space="preserve">Е</w:t>
      </w:r>
      <w:r>
        <w:rPr>
          <w:rStyle w:val="1078"/>
          <w:i w:val="0"/>
          <w:iCs w:val="0"/>
          <w:shd w:val="clear" w:color="auto" w:fill="auto"/>
        </w:rPr>
        <w:t xml:space="preserve">сли </w:t>
      </w:r>
      <w:r>
        <w:rPr>
          <w:rStyle w:val="1078"/>
          <w:i w:val="0"/>
          <w:iCs w:val="0"/>
          <w:shd w:val="clear" w:color="auto" w:fill="auto"/>
        </w:rPr>
        <w:t xml:space="preserve">по каким-либо причинам Участник не может предоставить какой-либо из</w:t>
      </w:r>
      <w:r>
        <w:rPr>
          <w:rStyle w:val="1078"/>
          <w:i w:val="0"/>
          <w:iCs w:val="0"/>
          <w:shd w:val="clear" w:color="auto" w:fill="auto"/>
        </w:rPr>
        <w:t xml:space="preserve"> </w:t>
      </w:r>
      <w:r>
        <w:rPr>
          <w:rStyle w:val="1078"/>
          <w:i w:val="0"/>
          <w:iCs w:val="0"/>
          <w:shd w:val="clear" w:color="auto" w:fill="auto"/>
        </w:rPr>
        <w:t xml:space="preserve">требуемых документов, он может в составе заявки приложить составленную в</w:t>
      </w:r>
      <w:r>
        <w:rPr>
          <w:rStyle w:val="1078"/>
          <w:i w:val="0"/>
          <w:iCs w:val="0"/>
          <w:shd w:val="clear" w:color="auto" w:fill="auto"/>
        </w:rPr>
        <w:t xml:space="preserve"> </w:t>
      </w:r>
      <w:r>
        <w:rPr>
          <w:rStyle w:val="1078"/>
          <w:i w:val="0"/>
          <w:iCs w:val="0"/>
          <w:shd w:val="clear" w:color="auto" w:fill="auto"/>
        </w:rPr>
        <w:t xml:space="preserve">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w:t>
      </w:r>
      <w:r>
        <w:rPr>
          <w:rStyle w:val="1078"/>
          <w:i w:val="0"/>
          <w:iCs w:val="0"/>
          <w:shd w:val="clear" w:color="auto" w:fill="auto"/>
        </w:rPr>
        <w:t xml:space="preserve"> </w:t>
      </w:r>
      <w:r>
        <w:rPr>
          <w:rStyle w:val="1078"/>
          <w:i w:val="0"/>
          <w:iCs w:val="0"/>
          <w:shd w:val="clear" w:color="auto" w:fill="auto"/>
        </w:rPr>
        <w:t xml:space="preserve">Участника обязанности по предоставлению требуемого документа).</w:t>
      </w:r>
      <w:r>
        <w:rPr>
          <w:rStyle w:val="1078"/>
          <w:i w:val="0"/>
          <w:iCs w:val="0"/>
          <w:shd w:val="clear" w:color="auto" w:fill="auto"/>
        </w:rPr>
      </w:r>
      <w:r>
        <w:rPr>
          <w:rStyle w:val="1078"/>
          <w:i w:val="0"/>
          <w:iCs w:val="0"/>
          <w:shd w:val="clear" w:color="auto" w:fill="auto"/>
        </w:rPr>
      </w:r>
    </w:p>
    <w:p>
      <w:pPr>
        <w:pStyle w:val="1073"/>
        <w:rPr>
          <w:rStyle w:val="1078"/>
          <w:i w:val="0"/>
          <w:iCs w:val="0"/>
          <w:shd w:val="clear" w:color="auto" w:fill="auto"/>
        </w:rPr>
        <w:sectPr>
          <w:footnotePr/>
          <w:endnotePr/>
          <w:type w:val="nextPage"/>
          <w:pgSz w:w="11906" w:h="16838" w:orient="portrait"/>
          <w:pgMar w:top="851" w:right="850" w:bottom="851" w:left="1134" w:header="567" w:footer="567" w:gutter="0"/>
          <w:cols w:num="1" w:sep="0" w:space="708" w:equalWidth="1"/>
          <w:docGrid w:linePitch="360"/>
        </w:sectPr>
      </w:pPr>
      <w:r>
        <w:rPr>
          <w:i w:val="0"/>
          <w:iCs w:val="0"/>
          <w:shd w:val="clear" w:color="auto" w:fill="auto"/>
        </w:rPr>
      </w:r>
      <w:r>
        <w:rPr>
          <w:rStyle w:val="1078"/>
          <w:i w:val="0"/>
          <w:iCs w:val="0"/>
          <w:shd w:val="clear" w:color="auto" w:fill="auto"/>
        </w:rPr>
      </w:r>
      <w:r>
        <w:rPr>
          <w:rStyle w:val="1078"/>
          <w:i w:val="0"/>
          <w:iCs w:val="0"/>
          <w:shd w:val="clear" w:color="auto" w:fill="auto"/>
        </w:rPr>
      </w:r>
    </w:p>
    <w:p>
      <w:pPr>
        <w:pStyle w:val="1067"/>
      </w:pPr>
      <w:r/>
      <w:bookmarkStart w:id="338" w:name="Прил07_ОтборочныеКритерии"/>
      <w:r/>
      <w:bookmarkStart w:id="339" w:name="_Ref125365264"/>
      <w:r/>
      <w:bookmarkStart w:id="340" w:name="_Toc224744374"/>
      <w:r/>
      <w:bookmarkEnd w:id="338"/>
      <w:r>
        <w:t xml:space="preserve">Приложение №</w:t>
      </w:r>
      <w:r>
        <w:t xml:space="preserve"> </w:t>
      </w:r>
      <w:r>
        <w:t xml:space="preserve">7</w:t>
      </w:r>
      <w:r>
        <w:t xml:space="preserve"> – Отборочные критерии рассмотрения заявок</w:t>
      </w:r>
      <w:bookmarkEnd w:id="339"/>
      <w:r/>
      <w:bookmarkEnd w:id="340"/>
      <w:r/>
      <w:r/>
    </w:p>
    <w:p>
      <w:pPr>
        <w:pStyle w:val="1068"/>
        <w:spacing w:after="120"/>
        <w:rPr>
          <w:rStyle w:val="1078"/>
          <w:i w:val="0"/>
          <w:iCs w:val="0"/>
          <w:shd w:val="clear" w:color="auto" w:fill="auto"/>
        </w:rPr>
      </w:pPr>
      <w:r/>
      <w:bookmarkStart w:id="341" w:name="_Toc224744375"/>
      <w:r>
        <w:rPr>
          <w:rStyle w:val="1078"/>
          <w:i w:val="0"/>
          <w:iCs w:val="0"/>
          <w:shd w:val="clear" w:color="auto" w:fill="auto"/>
        </w:rPr>
        <w:t xml:space="preserve">Отборочные критерии рассмотрения заявок</w:t>
      </w:r>
      <w:bookmarkEnd w:id="341"/>
      <w:r>
        <w:rPr>
          <w:rStyle w:val="1078"/>
          <w:i w:val="0"/>
          <w:iCs w:val="0"/>
          <w:shd w:val="clear" w:color="auto" w:fill="auto"/>
        </w:rPr>
      </w:r>
      <w:r>
        <w:rPr>
          <w:rStyle w:val="1078"/>
          <w:i w:val="0"/>
          <w:iCs w:val="0"/>
          <w:shd w:val="clear" w:color="auto" w:fill="auto"/>
        </w:rPr>
      </w:r>
    </w:p>
    <w:tbl>
      <w:tblPr>
        <w:tblStyle w:val="1094"/>
        <w:tblW w:w="0" w:type="auto"/>
        <w:tblLook w:val="04A0" w:firstRow="1" w:lastRow="0" w:firstColumn="1" w:lastColumn="0" w:noHBand="0" w:noVBand="1"/>
      </w:tblPr>
      <w:tblGrid>
        <w:gridCol w:w="1413"/>
        <w:gridCol w:w="8505"/>
        <w:gridCol w:w="3118"/>
        <w:gridCol w:w="2090"/>
      </w:tblGrid>
      <w:tr>
        <w:tblPrEx/>
        <w:trPr/>
        <w:tc>
          <w:tcPr>
            <w:tcW w:w="1413" w:type="dxa"/>
            <w:textDirection w:val="lrTb"/>
            <w:noWrap w:val="false"/>
          </w:tcPr>
          <w:p>
            <w:pPr>
              <w:pStyle w:val="1073"/>
              <w:jc w:val="center"/>
            </w:pPr>
            <w:r>
              <w:t xml:space="preserve">Номер</w:t>
            </w:r>
            <w:r>
              <w:br/>
              <w:t xml:space="preserve">критерия</w:t>
            </w:r>
            <w:r/>
          </w:p>
        </w:tc>
        <w:tc>
          <w:tcPr>
            <w:tcW w:w="8505" w:type="dxa"/>
            <w:textDirection w:val="lrTb"/>
            <w:noWrap w:val="false"/>
          </w:tcPr>
          <w:p>
            <w:pPr>
              <w:pStyle w:val="1073"/>
              <w:jc w:val="center"/>
            </w:pPr>
            <w:r>
              <w:t xml:space="preserve">Наименование</w:t>
            </w:r>
            <w:r>
              <w:br/>
            </w:r>
            <w:r>
              <w:t xml:space="preserve">отборочного критерия</w:t>
            </w:r>
            <w:r/>
          </w:p>
        </w:tc>
        <w:tc>
          <w:tcPr>
            <w:tcW w:w="3118" w:type="dxa"/>
            <w:textDirection w:val="lrTb"/>
            <w:noWrap w:val="false"/>
          </w:tcPr>
          <w:p>
            <w:pPr>
              <w:pStyle w:val="1073"/>
              <w:jc w:val="center"/>
            </w:pPr>
            <w:r>
              <w:t xml:space="preserve">Номер пункта</w:t>
            </w:r>
            <w:r>
              <w:br/>
            </w:r>
            <w:r>
              <w:t xml:space="preserve">Документации о закупке</w:t>
            </w:r>
            <w:r/>
          </w:p>
        </w:tc>
        <w:tc>
          <w:tcPr>
            <w:tcW w:w="2090" w:type="dxa"/>
            <w:textDirection w:val="lrTb"/>
            <w:noWrap w:val="false"/>
          </w:tcPr>
          <w:p>
            <w:pPr>
              <w:pStyle w:val="1073"/>
              <w:jc w:val="center"/>
            </w:pPr>
            <w:r>
              <w:t xml:space="preserve">Направления</w:t>
            </w:r>
            <w:r>
              <w:br/>
            </w:r>
            <w:r>
              <w:t xml:space="preserve">оценки заявок</w:t>
            </w:r>
            <w:r>
              <w:t xml:space="preserve">*</w:t>
            </w:r>
            <w:r/>
          </w:p>
        </w:tc>
      </w:tr>
      <w:tr>
        <w:tblPrEx/>
        <w:trPr/>
        <w:tc>
          <w:tcPr>
            <w:gridSpan w:val="2"/>
            <w:tcW w:w="9918" w:type="dxa"/>
            <w:textDirection w:val="lrTb"/>
            <w:noWrap w:val="false"/>
          </w:tcPr>
          <w:p>
            <w:pPr>
              <w:pStyle w:val="1073"/>
              <w:keepNext/>
              <w:rPr>
                <w:b/>
                <w:bCs/>
              </w:rPr>
            </w:pPr>
            <w:r>
              <w:rPr>
                <w:b/>
                <w:bCs/>
              </w:rPr>
              <w:t xml:space="preserve">Состав</w:t>
            </w:r>
            <w:r>
              <w:rPr>
                <w:b/>
                <w:bCs/>
              </w:rPr>
              <w:t xml:space="preserve"> заявки</w:t>
            </w:r>
            <w:r>
              <w:rPr>
                <w:b/>
                <w:bCs/>
              </w:rPr>
              <w:t xml:space="preserve"> и правильность </w:t>
            </w:r>
            <w:r>
              <w:rPr>
                <w:b/>
                <w:bCs/>
              </w:rPr>
              <w:t xml:space="preserve">ее </w:t>
            </w:r>
            <w:r>
              <w:rPr>
                <w:b/>
                <w:bCs/>
              </w:rPr>
              <w:t xml:space="preserve">оформления, в том числе</w:t>
            </w:r>
            <w:r>
              <w:rPr>
                <w:b/>
                <w:bCs/>
              </w:rPr>
              <w:t xml:space="preserve">:</w:t>
            </w:r>
            <w:r>
              <w:rPr>
                <w:b/>
                <w:bCs/>
              </w:rPr>
            </w:r>
            <w:r>
              <w:rPr>
                <w:b/>
                <w:bCs/>
              </w:rPr>
            </w:r>
          </w:p>
        </w:tc>
        <w:tc>
          <w:tcPr>
            <w:tcW w:w="3118" w:type="dxa"/>
            <w:textDirection w:val="lrTb"/>
            <w:noWrap w:val="false"/>
          </w:tcPr>
          <w:p>
            <w:pPr>
              <w:pStyle w:val="1073"/>
              <w:jc w:val="center"/>
              <w:rPr>
                <w:b/>
                <w:bCs/>
              </w:rPr>
            </w:pPr>
            <w:r>
              <w:rPr>
                <w:b/>
                <w:bCs/>
              </w:rPr>
              <w:t xml:space="preserve">–</w:t>
            </w:r>
            <w:r>
              <w:rPr>
                <w:b/>
                <w:bCs/>
              </w:rPr>
            </w:r>
            <w:r>
              <w:rPr>
                <w:b/>
                <w:bCs/>
              </w:rPr>
            </w:r>
          </w:p>
        </w:tc>
        <w:tc>
          <w:tcPr>
            <w:tcW w:w="2090" w:type="dxa"/>
            <w:textDirection w:val="lrTb"/>
            <w:noWrap w:val="false"/>
          </w:tcPr>
          <w:p>
            <w:pPr>
              <w:pStyle w:val="1073"/>
              <w:jc w:val="center"/>
              <w:rPr>
                <w:b/>
                <w:bCs/>
              </w:rPr>
            </w:pPr>
            <w:r>
              <w:rPr>
                <w:b/>
                <w:bCs/>
              </w:rPr>
              <w:t xml:space="preserve">–</w:t>
            </w:r>
            <w:r>
              <w:rPr>
                <w:b/>
                <w:bCs/>
              </w:rPr>
            </w:r>
            <w:r>
              <w:rPr>
                <w:b/>
                <w:bCs/>
              </w:rPr>
            </w:r>
          </w:p>
        </w:tc>
      </w:tr>
      <w:tr>
        <w:tblPrEx/>
        <w:trPr/>
        <w:tc>
          <w:tcPr>
            <w:tcW w:w="1413" w:type="dxa"/>
            <w:textDirection w:val="lrTb"/>
            <w:noWrap w:val="false"/>
          </w:tcPr>
          <w:p>
            <w:pPr>
              <w:pStyle w:val="1073"/>
              <w:numPr>
                <w:ilvl w:val="0"/>
                <w:numId w:val="9"/>
              </w:numPr>
              <w:ind w:left="170" w:firstLine="0"/>
              <w:jc w:val="center"/>
            </w:pPr>
            <w:r/>
            <w:r/>
          </w:p>
        </w:tc>
        <w:tc>
          <w:tcPr>
            <w:tcW w:w="8505" w:type="dxa"/>
            <w:textDirection w:val="lrTb"/>
            <w:noWrap w:val="false"/>
          </w:tcPr>
          <w:p>
            <w:pPr>
              <w:pStyle w:val="1073"/>
            </w:pPr>
            <w:r>
              <w:t xml:space="preserve">Наличие в составе заявки обязательных к</w:t>
            </w:r>
            <w:r>
              <w:t xml:space="preserve"> </w:t>
            </w:r>
            <w:r>
              <w:t xml:space="preserve">предоставлению (для</w:t>
            </w:r>
            <w:r>
              <w:t xml:space="preserve"> </w:t>
            </w:r>
            <w:r>
              <w:t xml:space="preserve">целей рассмотрения заявок в рамках отборочной стадии) документов в</w:t>
            </w:r>
            <w:r>
              <w:t xml:space="preserve"> </w:t>
            </w:r>
            <w:r>
              <w:t xml:space="preserve">соответствии с требованиями </w:t>
            </w:r>
            <w:hyperlink w:tooltip="#Прил06_СоставЗаявки" w:anchor="Прил06_СоставЗаявки" w:history="1">
              <w:r>
                <w:rPr>
                  <w:rStyle w:val="1097"/>
                </w:rPr>
                <w:t xml:space="preserve">Приложения № 6 «Состав заявки»</w:t>
              </w:r>
            </w:hyperlink>
            <w:r>
              <w:t xml:space="preserve">, а также правильность их оформления (в т.ч. в части наличия должных печатей, подписей, формы заверения, языка и валюты заявки)</w:t>
            </w:r>
            <w:r/>
          </w:p>
        </w:tc>
        <w:tc>
          <w:tcPr>
            <w:tcW w:w="3118" w:type="dxa"/>
            <w:textDirection w:val="lrTb"/>
            <w:noWrap w:val="false"/>
          </w:tcPr>
          <w:p>
            <w:pPr>
              <w:pStyle w:val="1073"/>
              <w:jc w:val="center"/>
              <w:rPr>
                <w:rStyle w:val="1097"/>
              </w:rP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_Ref125362119 \r \h </w:instrText>
            </w:r>
            <w:r>
              <w:fldChar w:fldCharType="separate"/>
            </w:r>
            <w:r>
              <w:t xml:space="preserve">4.6</w:t>
            </w:r>
            <w:r>
              <w:fldChar w:fldCharType="end"/>
            </w:r>
            <w:r>
              <w:t xml:space="preserve">,</w:t>
            </w:r>
            <w:r>
              <w:br/>
            </w:r>
            <w:hyperlink w:tooltip="#Прил06_СоставЗаявки" w:anchor="Прил06_СоставЗаявки" w:history="1">
              <w:r>
                <w:rPr>
                  <w:rStyle w:val="1097"/>
                </w:rPr>
                <w:t xml:space="preserve">Приложение № 6</w:t>
              </w:r>
            </w:hyperlink>
            <w:r>
              <w:rPr>
                <w:rStyle w:val="1097"/>
              </w:rPr>
            </w:r>
            <w:r>
              <w:rPr>
                <w:rStyle w:val="1097"/>
              </w:rPr>
            </w:r>
          </w:p>
        </w:tc>
        <w:tc>
          <w:tcPr>
            <w:tcW w:w="2090" w:type="dxa"/>
            <w:textDirection w:val="lrTb"/>
            <w:noWrap w:val="false"/>
          </w:tcPr>
          <w:p>
            <w:pPr>
              <w:pStyle w:val="1073"/>
              <w:jc w:val="center"/>
            </w:pPr>
            <w:r>
              <w:t xml:space="preserve">Орг, Тех,</w:t>
            </w:r>
            <w:r>
              <w:br/>
            </w:r>
            <w:r>
              <w:t xml:space="preserve">Цена</w:t>
            </w:r>
            <w:r>
              <w:t xml:space="preserve">, Юр</w:t>
            </w:r>
            <w:r/>
          </w:p>
        </w:tc>
      </w:tr>
      <w:tr>
        <w:tblPrEx/>
        <w:trPr/>
        <w:tc>
          <w:tcPr>
            <w:tcW w:w="1413" w:type="dxa"/>
            <w:textDirection w:val="lrTb"/>
            <w:noWrap w:val="false"/>
          </w:tcPr>
          <w:p>
            <w:pPr>
              <w:pStyle w:val="1073"/>
              <w:numPr>
                <w:ilvl w:val="0"/>
                <w:numId w:val="9"/>
              </w:numPr>
              <w:ind w:left="170" w:firstLine="0"/>
              <w:jc w:val="center"/>
            </w:pPr>
            <w:r/>
            <w:r/>
          </w:p>
        </w:tc>
        <w:tc>
          <w:tcPr>
            <w:tcW w:w="8505" w:type="dxa"/>
            <w:textDirection w:val="lrTb"/>
            <w:noWrap w:val="false"/>
          </w:tcPr>
          <w:p>
            <w:pPr>
              <w:pStyle w:val="1073"/>
            </w:pPr>
            <w:r>
              <w:t xml:space="preserve">Наличие обеспечения обязательств Участника, связанного с подачей заявки, в виде независимой гарантии и ее соответствие установленным требованиям Документации о закупке – если подразделом</w:t>
            </w:r>
            <w:r>
              <w:t xml:space="preserve"> </w:t>
            </w:r>
            <w:r>
              <w:fldChar w:fldCharType="begin"/>
            </w:r>
            <w:r>
              <w:instrText xml:space="preserve"> REF _Ref125359973 \r \h </w:instrText>
            </w:r>
            <w:r>
              <w:fldChar w:fldCharType="separate"/>
            </w:r>
            <w:r>
              <w:t xml:space="preserve">1.2</w:t>
            </w:r>
            <w:r>
              <w:fldChar w:fldCharType="end"/>
            </w:r>
            <w:r>
              <w:t xml:space="preserve"> предусмотрена обязанность Участников предоставить обеспечение заявки на участие в закупке</w:t>
            </w:r>
            <w:r>
              <w:t xml:space="preserve"> </w:t>
            </w:r>
            <w:r>
              <w:t xml:space="preserve">и в случае отсутствия внесение денежных средств на</w:t>
            </w:r>
            <w:r>
              <w:t xml:space="preserve"> </w:t>
            </w:r>
            <w:r>
              <w:t xml:space="preserve">специальный банковский счет, открытый Участником в банке, включенном в перечень, определенный Правительством Российской Федерации в соответствии с Законом</w:t>
            </w:r>
            <w:r>
              <w:t xml:space="preserve"> </w:t>
            </w:r>
            <w:r>
              <w:t xml:space="preserve">44-ФЗ</w:t>
            </w:r>
            <w:r/>
          </w:p>
        </w:tc>
        <w:tc>
          <w:tcPr>
            <w:tcW w:w="3118" w:type="dxa"/>
            <w:textDirection w:val="lrTb"/>
            <w:noWrap w:val="false"/>
          </w:tcPr>
          <w:p>
            <w:pPr>
              <w:pStyle w:val="1073"/>
              <w:jc w:val="center"/>
            </w:pPr>
            <w:r>
              <w:t xml:space="preserve">п</w:t>
            </w:r>
            <w:r>
              <w:t xml:space="preserve">одраздел</w:t>
            </w:r>
            <w:r>
              <w:t xml:space="preserve"> </w:t>
            </w:r>
            <w:r>
              <w:fldChar w:fldCharType="begin"/>
            </w:r>
            <w:r>
              <w:instrText xml:space="preserve"> REF _Ref130455226 \r \h </w:instrText>
            </w:r>
            <w:r>
              <w:fldChar w:fldCharType="separate"/>
            </w:r>
            <w:r>
              <w:t xml:space="preserve">4.17</w:t>
            </w:r>
            <w:r>
              <w:fldChar w:fldCharType="end"/>
            </w:r>
            <w:r/>
          </w:p>
        </w:tc>
        <w:tc>
          <w:tcPr>
            <w:tcW w:w="2090" w:type="dxa"/>
            <w:textDirection w:val="lrTb"/>
            <w:noWrap w:val="false"/>
          </w:tcPr>
          <w:p>
            <w:pPr>
              <w:pStyle w:val="1073"/>
              <w:jc w:val="center"/>
            </w:pPr>
            <w:r>
              <w:t xml:space="preserve">Орг – </w:t>
            </w:r>
            <w:r>
              <w:t xml:space="preserve">в части наличия сведений в</w:t>
            </w:r>
            <w:r>
              <w:t xml:space="preserve"> </w:t>
            </w:r>
            <w:r>
              <w:t xml:space="preserve">реестре</w:t>
            </w:r>
            <w:r>
              <w:t xml:space="preserve">,</w:t>
            </w:r>
            <w:r/>
          </w:p>
          <w:p>
            <w:pPr>
              <w:pStyle w:val="1073"/>
              <w:jc w:val="center"/>
            </w:pPr>
            <w:r>
              <w:t xml:space="preserve">Фин – в части соответствия</w:t>
            </w:r>
            <w:r/>
          </w:p>
        </w:tc>
      </w:tr>
      <w:tr>
        <w:tblPrEx/>
        <w:trPr/>
        <w:tc>
          <w:tcPr>
            <w:tcW w:w="1413" w:type="dxa"/>
            <w:textDirection w:val="lrTb"/>
            <w:noWrap w:val="false"/>
          </w:tcPr>
          <w:p>
            <w:pPr>
              <w:pStyle w:val="1073"/>
              <w:numPr>
                <w:ilvl w:val="0"/>
                <w:numId w:val="9"/>
              </w:numPr>
              <w:ind w:left="170" w:firstLine="0"/>
              <w:jc w:val="center"/>
            </w:pPr>
            <w:r/>
            <w:r/>
          </w:p>
        </w:tc>
        <w:tc>
          <w:tcPr>
            <w:tcW w:w="8505" w:type="dxa"/>
            <w:textDirection w:val="lrTb"/>
            <w:noWrap w:val="false"/>
          </w:tcPr>
          <w:p>
            <w:pPr>
              <w:pStyle w:val="1073"/>
            </w:pPr>
            <w:r>
              <w:t xml:space="preserve">Отсутствие в материалах </w:t>
            </w:r>
            <w:r>
              <w:t xml:space="preserve">(документах) </w:t>
            </w:r>
            <w:r>
              <w:t xml:space="preserve">заявки недостоверных сведений или намеренно искаженной информации </w:t>
            </w:r>
            <w:r>
              <w:t xml:space="preserve">и</w:t>
            </w:r>
            <w:r>
              <w:t xml:space="preserve"> (</w:t>
            </w:r>
            <w:r>
              <w:t xml:space="preserve">или</w:t>
            </w:r>
            <w:r>
              <w:t xml:space="preserve">)</w:t>
            </w:r>
            <w:r>
              <w:t xml:space="preserve"> документов, внутренних противоречий между различными частями </w:t>
            </w:r>
            <w:r>
              <w:t xml:space="preserve">и</w:t>
            </w:r>
            <w:r>
              <w:t xml:space="preserve"> (</w:t>
            </w:r>
            <w:r>
              <w:t xml:space="preserve">или</w:t>
            </w:r>
            <w:r>
              <w:t xml:space="preserve">)</w:t>
            </w:r>
            <w:r>
              <w:t xml:space="preserve"> документами заявки, в</w:t>
            </w:r>
            <w:r>
              <w:t xml:space="preserve"> </w:t>
            </w:r>
            <w:r>
              <w:t xml:space="preserve">том числе по тексту внутри одного документа</w:t>
            </w:r>
            <w:r/>
          </w:p>
        </w:tc>
        <w:tc>
          <w:tcPr>
            <w:tcW w:w="3118" w:type="dxa"/>
            <w:textDirection w:val="lrTb"/>
            <w:noWrap w:val="false"/>
          </w:tcPr>
          <w:p>
            <w:pPr>
              <w:pStyle w:val="1073"/>
              <w:jc w:val="center"/>
            </w:pPr>
            <w:r>
              <w:t xml:space="preserve">подраздел</w:t>
            </w:r>
            <w:r>
              <w:t xml:space="preserve">ы</w:t>
            </w:r>
            <w:r>
              <w:t xml:space="preserve">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_Ref135749133 \r \h </w:instrText>
            </w:r>
            <w:r>
              <w:fldChar w:fldCharType="separate"/>
            </w:r>
            <w:r>
              <w:t xml:space="preserve">4.9</w:t>
            </w:r>
            <w:r>
              <w:fldChar w:fldCharType="end"/>
            </w:r>
            <w:r/>
          </w:p>
        </w:tc>
        <w:tc>
          <w:tcPr>
            <w:tcW w:w="2090" w:type="dxa"/>
            <w:textDirection w:val="lrTb"/>
            <w:noWrap w:val="false"/>
          </w:tcPr>
          <w:p>
            <w:pPr>
              <w:pStyle w:val="1073"/>
              <w:jc w:val="center"/>
            </w:pPr>
            <w:r>
              <w:t xml:space="preserve">Орг, Тех,</w:t>
            </w:r>
            <w:r>
              <w:br/>
            </w:r>
            <w:r>
              <w:t xml:space="preserve">Цена</w:t>
            </w:r>
            <w:r>
              <w:t xml:space="preserve">, Юр</w:t>
            </w:r>
            <w:r/>
          </w:p>
        </w:tc>
      </w:tr>
      <w:tr>
        <w:tblPrEx/>
        <w:trPr/>
        <w:tc>
          <w:tcPr>
            <w:gridSpan w:val="2"/>
            <w:tcW w:w="9918" w:type="dxa"/>
            <w:textDirection w:val="lrTb"/>
            <w:noWrap w:val="false"/>
          </w:tcPr>
          <w:p>
            <w:pPr>
              <w:pStyle w:val="1073"/>
              <w:keepNext/>
              <w:rPr>
                <w:b/>
                <w:bCs/>
              </w:rPr>
            </w:pPr>
            <w:r>
              <w:rPr>
                <w:b/>
                <w:bCs/>
              </w:rPr>
              <w:t xml:space="preserve">Соответствие Письм</w:t>
            </w:r>
            <w:r>
              <w:rPr>
                <w:b/>
                <w:bCs/>
              </w:rPr>
              <w:t xml:space="preserve">а</w:t>
            </w:r>
            <w:r>
              <w:rPr>
                <w:b/>
                <w:bCs/>
              </w:rPr>
              <w:t xml:space="preserve"> о подаче оферты:</w:t>
            </w:r>
            <w:r>
              <w:rPr>
                <w:b/>
                <w:bCs/>
              </w:rPr>
            </w:r>
            <w:r>
              <w:rPr>
                <w:b/>
                <w:bCs/>
              </w:rPr>
            </w:r>
          </w:p>
        </w:tc>
        <w:tc>
          <w:tcPr>
            <w:tcW w:w="3118" w:type="dxa"/>
            <w:textDirection w:val="lrTb"/>
            <w:noWrap w:val="false"/>
          </w:tcPr>
          <w:p>
            <w:pPr>
              <w:pStyle w:val="1073"/>
              <w:jc w:val="center"/>
              <w:keepNext/>
            </w:pPr>
            <w:r>
              <w:rPr>
                <w:b/>
                <w:bCs/>
              </w:rPr>
              <w:t xml:space="preserve">–</w:t>
            </w:r>
            <w:r/>
          </w:p>
        </w:tc>
        <w:tc>
          <w:tcPr>
            <w:tcW w:w="2090" w:type="dxa"/>
            <w:textDirection w:val="lrTb"/>
            <w:noWrap w:val="false"/>
          </w:tcPr>
          <w:p>
            <w:pPr>
              <w:pStyle w:val="1073"/>
              <w:jc w:val="center"/>
              <w:keepNext/>
            </w:pPr>
            <w:r>
              <w:rPr>
                <w:b/>
                <w:bCs/>
              </w:rPr>
              <w:t xml:space="preserve">–</w:t>
            </w:r>
            <w:r/>
          </w:p>
        </w:tc>
      </w:tr>
      <w:tr>
        <w:tblPrEx/>
        <w:trPr/>
        <w:tc>
          <w:tcPr>
            <w:tcW w:w="1413" w:type="dxa"/>
            <w:textDirection w:val="lrTb"/>
            <w:noWrap w:val="false"/>
          </w:tcPr>
          <w:p>
            <w:pPr>
              <w:pStyle w:val="1073"/>
              <w:numPr>
                <w:ilvl w:val="0"/>
                <w:numId w:val="9"/>
              </w:numPr>
              <w:ind w:left="170" w:firstLine="0"/>
              <w:jc w:val="center"/>
            </w:pPr>
            <w:r/>
            <w:r/>
          </w:p>
        </w:tc>
        <w:tc>
          <w:tcPr>
            <w:tcW w:w="8505" w:type="dxa"/>
            <w:textDirection w:val="lrTb"/>
            <w:noWrap w:val="false"/>
          </w:tcPr>
          <w:p>
            <w:pPr>
              <w:pStyle w:val="1073"/>
            </w:pPr>
            <w:r>
              <w:t xml:space="preserve">С</w:t>
            </w:r>
            <w:r>
              <w:t xml:space="preserve">оответствие</w:t>
            </w:r>
            <w:r>
              <w:t xml:space="preserve"> (в том числе содержание)</w:t>
            </w:r>
            <w:r>
              <w:t xml:space="preserve"> Письма о подаче оферты</w:t>
            </w:r>
            <w:r>
              <w:t xml:space="preserve"> </w:t>
            </w:r>
            <w:r>
              <w:t xml:space="preserve">установленной форме и иным требованиям Документации о закупке, в т.ч. в части срока действия заявки</w:t>
            </w:r>
            <w:r/>
          </w:p>
        </w:tc>
        <w:tc>
          <w:tcPr>
            <w:tcW w:w="3118" w:type="dxa"/>
            <w:textDirection w:val="lrTb"/>
            <w:noWrap w:val="false"/>
          </w:tcPr>
          <w:p>
            <w:pPr>
              <w:pStyle w:val="1073"/>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_Ref125362119 \r \h </w:instrText>
            </w:r>
            <w:r>
              <w:fldChar w:fldCharType="separate"/>
            </w:r>
            <w:r>
              <w:t xml:space="preserve">4.6</w:t>
            </w:r>
            <w:r>
              <w:fldChar w:fldCharType="end"/>
            </w:r>
            <w:r>
              <w:br/>
            </w:r>
            <w:hyperlink w:tooltip="#Прил04_ФормыЗаявки" w:anchor="Прил04_ФормыЗаявки" w:history="1">
              <w:r>
                <w:rPr>
                  <w:rStyle w:val="1097"/>
                </w:rPr>
                <w:t xml:space="preserve">Приложение № 4</w:t>
              </w:r>
            </w:hyperlink>
            <w:r/>
            <w:r/>
          </w:p>
        </w:tc>
        <w:tc>
          <w:tcPr>
            <w:tcW w:w="2090" w:type="dxa"/>
            <w:textDirection w:val="lrTb"/>
            <w:noWrap w:val="false"/>
          </w:tcPr>
          <w:p>
            <w:pPr>
              <w:pStyle w:val="1073"/>
              <w:jc w:val="center"/>
            </w:pPr>
            <w:r>
              <w:t xml:space="preserve">Орг</w:t>
            </w:r>
            <w:r/>
          </w:p>
        </w:tc>
      </w:tr>
      <w:tr>
        <w:tblPrEx/>
        <w:trPr/>
        <w:tc>
          <w:tcPr>
            <w:gridSpan w:val="2"/>
            <w:tcW w:w="9918" w:type="dxa"/>
            <w:textDirection w:val="lrTb"/>
            <w:noWrap w:val="false"/>
          </w:tcPr>
          <w:p>
            <w:pPr>
              <w:pStyle w:val="1073"/>
              <w:keepNext/>
              <w:rPr>
                <w:b/>
                <w:bCs/>
              </w:rPr>
            </w:pPr>
            <w:r>
              <w:rPr>
                <w:b/>
                <w:bCs/>
              </w:rPr>
              <w:t xml:space="preserve">Соответствие Участника установленным требованиям Документации о закупке, в</w:t>
            </w:r>
            <w:r>
              <w:rPr>
                <w:b/>
                <w:bCs/>
              </w:rPr>
              <w:t xml:space="preserve"> </w:t>
            </w:r>
            <w:r>
              <w:rPr>
                <w:b/>
                <w:bCs/>
              </w:rPr>
              <w:t xml:space="preserve">том числе</w:t>
            </w:r>
            <w:r>
              <w:rPr>
                <w:b/>
                <w:bCs/>
              </w:rPr>
              <w:t xml:space="preserve">:</w:t>
            </w:r>
            <w:r>
              <w:rPr>
                <w:b/>
                <w:bCs/>
              </w:rPr>
            </w:r>
            <w:r>
              <w:rPr>
                <w:b/>
                <w:bCs/>
              </w:rPr>
            </w:r>
          </w:p>
        </w:tc>
        <w:tc>
          <w:tcPr>
            <w:tcW w:w="3118" w:type="dxa"/>
            <w:textDirection w:val="lrTb"/>
            <w:noWrap w:val="false"/>
          </w:tcPr>
          <w:p>
            <w:pPr>
              <w:pStyle w:val="1073"/>
              <w:jc w:val="center"/>
              <w:rPr>
                <w:b/>
                <w:bCs/>
              </w:rPr>
            </w:pPr>
            <w:r>
              <w:rPr>
                <w:b/>
                <w:bCs/>
              </w:rPr>
              <w:t xml:space="preserve">–</w:t>
            </w:r>
            <w:r>
              <w:rPr>
                <w:b/>
                <w:bCs/>
              </w:rPr>
            </w:r>
            <w:r>
              <w:rPr>
                <w:b/>
                <w:bCs/>
              </w:rPr>
            </w:r>
          </w:p>
        </w:tc>
        <w:tc>
          <w:tcPr>
            <w:tcW w:w="2090" w:type="dxa"/>
            <w:textDirection w:val="lrTb"/>
            <w:noWrap w:val="false"/>
          </w:tcPr>
          <w:p>
            <w:pPr>
              <w:pStyle w:val="1073"/>
              <w:jc w:val="center"/>
              <w:rPr>
                <w:b/>
                <w:bCs/>
              </w:rPr>
            </w:pPr>
            <w:r>
              <w:rPr>
                <w:b/>
                <w:bCs/>
              </w:rPr>
              <w:t xml:space="preserve">–</w:t>
            </w:r>
            <w:r>
              <w:rPr>
                <w:b/>
                <w:bCs/>
              </w:rPr>
            </w:r>
            <w:r>
              <w:rPr>
                <w:b/>
                <w:bCs/>
              </w:rPr>
            </w:r>
          </w:p>
        </w:tc>
      </w:tr>
      <w:tr>
        <w:tblPrEx/>
        <w:trPr/>
        <w:tc>
          <w:tcPr>
            <w:tcW w:w="1413" w:type="dxa"/>
            <w:textDirection w:val="lrTb"/>
            <w:noWrap w:val="false"/>
          </w:tcPr>
          <w:p>
            <w:pPr>
              <w:pStyle w:val="1073"/>
              <w:numPr>
                <w:ilvl w:val="0"/>
                <w:numId w:val="9"/>
              </w:numPr>
              <w:ind w:left="170" w:firstLine="0"/>
              <w:jc w:val="center"/>
            </w:pPr>
            <w:r/>
            <w:r/>
          </w:p>
        </w:tc>
        <w:tc>
          <w:tcPr>
            <w:tcW w:w="8505" w:type="dxa"/>
            <w:textDirection w:val="lrTb"/>
            <w:noWrap w:val="false"/>
          </w:tcPr>
          <w:p>
            <w:pPr>
              <w:pStyle w:val="1073"/>
            </w:pPr>
            <w:r>
              <w:t xml:space="preserve">Соответствие </w:t>
            </w:r>
            <w:r>
              <w:t xml:space="preserve">Участника пункту </w:t>
            </w:r>
            <w:r>
              <w:fldChar w:fldCharType="begin"/>
            </w:r>
            <w:r>
              <w:instrText xml:space="preserve"> REF _Ref125552433 \w \h </w:instrText>
            </w:r>
            <w:r>
              <w:instrText xml:space="preserve"> \* MERGEFORMAT </w:instrText>
            </w:r>
            <w:r>
              <w:fldChar w:fldCharType="separate"/>
            </w:r>
            <w:r>
              <w:t xml:space="preserve">1</w:t>
            </w:r>
            <w:r>
              <w:fldChar w:fldCharType="end"/>
            </w:r>
            <w:r>
              <w:t xml:space="preserve"> обязательных требований</w:t>
            </w:r>
            <w:r>
              <w:t xml:space="preserve"> к</w:t>
            </w:r>
            <w:r>
              <w:t xml:space="preserve"> </w:t>
            </w:r>
            <w:r>
              <w:t xml:space="preserve">Участникам</w:t>
            </w:r>
            <w:r/>
          </w:p>
          <w:p>
            <w:pPr>
              <w:pStyle w:val="1073"/>
              <w:rPr>
                <w:i/>
                <w:iCs/>
              </w:rPr>
            </w:pPr>
            <w:r>
              <w:rPr>
                <w:i/>
                <w:iCs/>
              </w:rPr>
              <w:t xml:space="preserve">(</w:t>
            </w:r>
            <w:r>
              <w:rPr>
                <w:i/>
                <w:iCs/>
              </w:rPr>
              <w:t xml:space="preserve">в</w:t>
            </w:r>
            <w:r>
              <w:rPr>
                <w:i/>
                <w:iCs/>
              </w:rPr>
              <w:t xml:space="preserve">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w:t>
            </w:r>
            <w:r>
              <w:rPr>
                <w:i/>
                <w:iCs/>
              </w:rPr>
              <w:t xml:space="preserve">его </w:t>
            </w:r>
            <w:r>
              <w:rPr>
                <w:i/>
                <w:iCs/>
              </w:rPr>
              <w:t xml:space="preserve">аккредитации (при</w:t>
            </w:r>
            <w:r>
              <w:rPr>
                <w:i/>
                <w:iCs/>
                <w:lang w:val="en-US"/>
              </w:rPr>
              <w:t xml:space="preserve"> </w:t>
            </w:r>
            <w:r>
              <w:rPr>
                <w:i/>
                <w:iCs/>
              </w:rPr>
              <w:t xml:space="preserve">необходимости). В рамках заключения Договора Победитель </w:t>
            </w:r>
            <w:r>
              <w:rPr>
                <w:i/>
                <w:iCs/>
              </w:rPr>
              <w:t xml:space="preserve">в целях подтверждения своего соответствия </w:t>
            </w:r>
            <w:r>
              <w:rPr>
                <w:i/>
                <w:iCs/>
              </w:rPr>
              <w:t xml:space="preserve">предоставляет документы в порядке, предусмотренном подразделом </w:t>
            </w:r>
            <w:r>
              <w:rPr>
                <w:i/>
                <w:iCs/>
              </w:rPr>
              <w:fldChar w:fldCharType="begin"/>
            </w:r>
            <w:r>
              <w:rPr>
                <w:i/>
                <w:iCs/>
              </w:rPr>
              <w:instrText xml:space="preserve"> REF _Ref138232981 \r \h </w:instrText>
            </w:r>
            <w:r>
              <w:rPr>
                <w:i/>
                <w:iCs/>
              </w:rPr>
              <w:fldChar w:fldCharType="separate"/>
            </w:r>
            <w:r>
              <w:rPr>
                <w:i/>
                <w:iCs/>
              </w:rPr>
              <w:t xml:space="preserve">5.2</w:t>
            </w:r>
            <w:r>
              <w:rPr>
                <w:i/>
                <w:iCs/>
              </w:rPr>
              <w:fldChar w:fldCharType="end"/>
            </w:r>
            <w:r>
              <w:rPr>
                <w:i/>
                <w:iCs/>
              </w:rPr>
              <w:t xml:space="preserve">)</w:t>
            </w:r>
            <w:r>
              <w:rPr>
                <w:i/>
                <w:iCs/>
              </w:rPr>
            </w:r>
            <w:r>
              <w:rPr>
                <w:i/>
                <w:iCs/>
              </w:rPr>
            </w:r>
          </w:p>
        </w:tc>
        <w:tc>
          <w:tcPr>
            <w:tcW w:w="3118" w:type="dxa"/>
            <w:textDirection w:val="lrTb"/>
            <w:noWrap w:val="false"/>
          </w:tcPr>
          <w:p>
            <w:pPr>
              <w:pStyle w:val="1073"/>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br/>
              <w:t xml:space="preserve">(</w:t>
            </w:r>
            <w:hyperlink w:tooltip="#Прил03_ТребованияУчастникам" w:anchor="Прил03_ТребованияУчастникам" w:history="1">
              <w:r>
                <w:rPr>
                  <w:rStyle w:val="1097"/>
                </w:rPr>
                <w:t xml:space="preserve">Приложение № 3</w:t>
              </w:r>
            </w:hyperlink>
            <w:r>
              <w:t xml:space="preserve">)</w:t>
            </w:r>
            <w:r/>
          </w:p>
        </w:tc>
        <w:tc>
          <w:tcPr>
            <w:tcW w:w="2090" w:type="dxa"/>
            <w:textDirection w:val="lrTb"/>
            <w:noWrap w:val="false"/>
          </w:tcPr>
          <w:p>
            <w:pPr>
              <w:pStyle w:val="1073"/>
              <w:jc w:val="center"/>
            </w:pPr>
            <w:r>
              <w:t xml:space="preserve">Орг</w:t>
            </w:r>
            <w:r>
              <w:t xml:space="preserve">, Юр</w:t>
            </w:r>
            <w:r/>
          </w:p>
        </w:tc>
      </w:tr>
      <w:tr>
        <w:tblPrEx/>
        <w:trPr/>
        <w:tc>
          <w:tcPr>
            <w:tcW w:w="1413" w:type="dxa"/>
            <w:textDirection w:val="lrTb"/>
            <w:noWrap w:val="false"/>
          </w:tcPr>
          <w:p>
            <w:pPr>
              <w:pStyle w:val="1073"/>
              <w:numPr>
                <w:ilvl w:val="0"/>
                <w:numId w:val="9"/>
              </w:numPr>
              <w:ind w:left="170" w:firstLine="0"/>
              <w:jc w:val="center"/>
            </w:pPr>
            <w:r/>
            <w:r/>
          </w:p>
        </w:tc>
        <w:tc>
          <w:tcPr>
            <w:tcW w:w="8505" w:type="dxa"/>
            <w:textDirection w:val="lrTb"/>
            <w:noWrap w:val="false"/>
          </w:tcPr>
          <w:p>
            <w:pPr>
              <w:pStyle w:val="1073"/>
            </w:pPr>
            <w:r>
              <w:t xml:space="preserve">Соответствие Участника пункт</w:t>
            </w:r>
            <w:r>
              <w:t xml:space="preserve">у </w:t>
            </w:r>
            <w:r>
              <w:fldChar w:fldCharType="begin"/>
            </w:r>
            <w:r>
              <w:instrText xml:space="preserve"> REF _Ref149558364 \r \h </w:instrText>
            </w:r>
            <w:r>
              <w:fldChar w:fldCharType="separate"/>
            </w:r>
            <w:r>
              <w:t xml:space="preserve">2</w:t>
            </w:r>
            <w:r>
              <w:fldChar w:fldCharType="end"/>
            </w:r>
            <w:r>
              <w:t xml:space="preserve"> </w:t>
            </w:r>
            <w:r>
              <w:t xml:space="preserve">обязательных требований</w:t>
            </w:r>
            <w:r>
              <w:t xml:space="preserve"> к Участникам</w:t>
            </w:r>
            <w:r/>
          </w:p>
        </w:tc>
        <w:tc>
          <w:tcPr>
            <w:tcW w:w="3118" w:type="dxa"/>
            <w:textDirection w:val="lrTb"/>
            <w:noWrap w:val="false"/>
          </w:tcPr>
          <w:p>
            <w:pPr>
              <w:pStyle w:val="1073"/>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br/>
              <w:t xml:space="preserve">(</w:t>
            </w:r>
            <w:hyperlink w:tooltip="#Прил03_ТребованияУчастникам" w:anchor="Прил03_ТребованияУчастникам" w:history="1">
              <w:r>
                <w:rPr>
                  <w:rStyle w:val="1097"/>
                </w:rPr>
                <w:t xml:space="preserve">Приложение № 3</w:t>
              </w:r>
            </w:hyperlink>
            <w:r>
              <w:t xml:space="preserve">)</w:t>
            </w:r>
            <w:r/>
          </w:p>
        </w:tc>
        <w:tc>
          <w:tcPr>
            <w:tcW w:w="2090" w:type="dxa"/>
            <w:textDirection w:val="lrTb"/>
            <w:noWrap w:val="false"/>
          </w:tcPr>
          <w:p>
            <w:pPr>
              <w:pStyle w:val="1073"/>
              <w:jc w:val="center"/>
            </w:pPr>
            <w:r>
              <w:t xml:space="preserve">Орг</w:t>
            </w:r>
            <w:r/>
          </w:p>
        </w:tc>
      </w:tr>
      <w:tr>
        <w:tblPrEx/>
        <w:trPr/>
        <w:tc>
          <w:tcPr>
            <w:tcW w:w="1413" w:type="dxa"/>
            <w:textDirection w:val="lrTb"/>
            <w:noWrap w:val="false"/>
          </w:tcPr>
          <w:p>
            <w:pPr>
              <w:pStyle w:val="1073"/>
              <w:numPr>
                <w:ilvl w:val="0"/>
                <w:numId w:val="9"/>
              </w:numPr>
              <w:ind w:left="170" w:firstLine="0"/>
              <w:jc w:val="center"/>
            </w:pPr>
            <w:r/>
            <w:r/>
          </w:p>
        </w:tc>
        <w:tc>
          <w:tcPr>
            <w:tcW w:w="8505" w:type="dxa"/>
            <w:textDirection w:val="lrTb"/>
            <w:noWrap w:val="false"/>
          </w:tcPr>
          <w:p>
            <w:pPr>
              <w:pStyle w:val="1073"/>
            </w:pPr>
            <w:r>
              <w:t xml:space="preserve">Соответствие Участника пункт</w:t>
            </w:r>
            <w:r>
              <w:t xml:space="preserve">у </w:t>
            </w:r>
            <w:r>
              <w:fldChar w:fldCharType="begin"/>
            </w:r>
            <w:r>
              <w:instrText xml:space="preserve"> REF _Ref139028406 \r \h </w:instrText>
            </w:r>
            <w:r>
              <w:fldChar w:fldCharType="separate"/>
            </w:r>
            <w:r>
              <w:t xml:space="preserve">3</w:t>
            </w:r>
            <w:r>
              <w:fldChar w:fldCharType="end"/>
            </w:r>
            <w:r>
              <w:t xml:space="preserve"> </w:t>
            </w:r>
            <w:r>
              <w:t xml:space="preserve">обязательных требований</w:t>
            </w:r>
            <w:r>
              <w:t xml:space="preserve"> к</w:t>
            </w:r>
            <w:r>
              <w:t xml:space="preserve"> </w:t>
            </w:r>
            <w:r>
              <w:t xml:space="preserve">Участникам</w:t>
            </w:r>
            <w:r/>
          </w:p>
        </w:tc>
        <w:tc>
          <w:tcPr>
            <w:tcW w:w="3118" w:type="dxa"/>
            <w:textDirection w:val="lrTb"/>
            <w:noWrap w:val="false"/>
          </w:tcPr>
          <w:p>
            <w:pPr>
              <w:pStyle w:val="1073"/>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br/>
              <w:t xml:space="preserve">(</w:t>
            </w:r>
            <w:hyperlink w:tooltip="#Прил03_ТребованияУчастникам" w:anchor="Прил03_ТребованияУчастникам" w:history="1">
              <w:r>
                <w:rPr>
                  <w:rStyle w:val="1097"/>
                </w:rPr>
                <w:t xml:space="preserve">Приложение № 3</w:t>
              </w:r>
            </w:hyperlink>
            <w:r>
              <w:t xml:space="preserve">)</w:t>
            </w:r>
            <w:r/>
          </w:p>
        </w:tc>
        <w:tc>
          <w:tcPr>
            <w:tcW w:w="2090" w:type="dxa"/>
            <w:textDirection w:val="lrTb"/>
            <w:noWrap w:val="false"/>
          </w:tcPr>
          <w:p>
            <w:pPr>
              <w:pStyle w:val="1073"/>
              <w:jc w:val="center"/>
            </w:pPr>
            <w:r>
              <w:t xml:space="preserve">Орг</w:t>
            </w:r>
            <w:r/>
          </w:p>
        </w:tc>
      </w:tr>
      <w:tr>
        <w:tblPrEx/>
        <w:trPr/>
        <w:tc>
          <w:tcPr>
            <w:tcW w:w="1413" w:type="dxa"/>
            <w:textDirection w:val="lrTb"/>
            <w:noWrap w:val="false"/>
          </w:tcPr>
          <w:p>
            <w:pPr>
              <w:pStyle w:val="1073"/>
              <w:numPr>
                <w:ilvl w:val="0"/>
                <w:numId w:val="9"/>
              </w:numPr>
              <w:ind w:left="170" w:firstLine="0"/>
              <w:jc w:val="center"/>
            </w:pPr>
            <w:r/>
            <w:r/>
          </w:p>
        </w:tc>
        <w:tc>
          <w:tcPr>
            <w:tcW w:w="8505" w:type="dxa"/>
            <w:textDirection w:val="lrTb"/>
            <w:noWrap w:val="false"/>
          </w:tcPr>
          <w:p>
            <w:pPr>
              <w:pStyle w:val="1073"/>
            </w:pPr>
            <w:r>
              <w:t xml:space="preserve">Соответствие Участника пункту </w:t>
            </w:r>
            <w:r>
              <w:fldChar w:fldCharType="begin"/>
            </w:r>
            <w:r>
              <w:instrText xml:space="preserve"> REF _Ref186221603 \r \h </w:instrText>
            </w:r>
            <w:r>
              <w:fldChar w:fldCharType="separate"/>
            </w:r>
            <w:r>
              <w:t xml:space="preserve">4</w:t>
            </w:r>
            <w:r>
              <w:fldChar w:fldCharType="end"/>
            </w:r>
            <w:r>
              <w:t xml:space="preserve"> обязательных требований к Участникам</w:t>
            </w:r>
            <w:r/>
          </w:p>
          <w:p>
            <w:pPr>
              <w:pStyle w:val="1073"/>
              <w:rPr>
                <w:i/>
                <w:iCs/>
              </w:rPr>
            </w:pPr>
            <w:r>
              <w:rPr>
                <w:i/>
                <w:iCs/>
              </w:rPr>
              <w:t xml:space="preserve">(пункт применяется только в случае установления режима запрета закупки иностранной продукции (подраздел </w:t>
            </w:r>
            <w:r>
              <w:rPr>
                <w:i/>
                <w:iCs/>
              </w:rPr>
              <w:fldChar w:fldCharType="begin"/>
            </w:r>
            <w:r>
              <w:rPr>
                <w:i/>
                <w:iCs/>
              </w:rPr>
              <w:instrText xml:space="preserve"> REF _Ref186221375 \r \h </w:instrText>
            </w:r>
            <w:r>
              <w:rPr>
                <w:i/>
                <w:iCs/>
              </w:rPr>
              <w:instrText xml:space="preserve"> \* MERGEFORMAT </w:instrText>
            </w:r>
            <w:r>
              <w:rPr>
                <w:i/>
                <w:iCs/>
              </w:rPr>
              <w:fldChar w:fldCharType="separate"/>
            </w:r>
            <w:r>
              <w:rPr>
                <w:i/>
                <w:iCs/>
              </w:rPr>
              <w:t xml:space="preserve">4.12</w:t>
            </w:r>
            <w:r>
              <w:rPr>
                <w:i/>
                <w:iCs/>
              </w:rPr>
              <w:fldChar w:fldCharType="end"/>
            </w:r>
            <w:r>
              <w:rPr>
                <w:i/>
                <w:iCs/>
              </w:rPr>
              <w:t xml:space="preserve">))</w:t>
            </w:r>
            <w:r>
              <w:rPr>
                <w:i/>
                <w:iCs/>
              </w:rPr>
            </w:r>
            <w:r>
              <w:rPr>
                <w:i/>
                <w:iCs/>
              </w:rPr>
            </w:r>
          </w:p>
        </w:tc>
        <w:tc>
          <w:tcPr>
            <w:tcW w:w="3118" w:type="dxa"/>
            <w:textDirection w:val="lrTb"/>
            <w:noWrap w:val="false"/>
          </w:tcPr>
          <w:p>
            <w:pPr>
              <w:pStyle w:val="1073"/>
              <w:jc w:val="center"/>
            </w:pPr>
            <w:r>
              <w:t xml:space="preserve">подразделы </w:t>
            </w:r>
            <w:r>
              <w:fldChar w:fldCharType="begin"/>
            </w:r>
            <w:r>
              <w:instrText xml:space="preserve"> REF _Ref186221375 \r \h </w:instrText>
            </w:r>
            <w:r>
              <w:fldChar w:fldCharType="separate"/>
            </w:r>
            <w:r>
              <w:t xml:space="preserve">4.12</w:t>
            </w:r>
            <w:r>
              <w:fldChar w:fldCharType="end"/>
            </w:r>
            <w:r>
              <w:t xml:space="preserve">,</w:t>
            </w:r>
            <w:r>
              <w:t xml:space="preserve"> </w:t>
            </w:r>
            <w:r>
              <w:fldChar w:fldCharType="begin"/>
            </w:r>
            <w:r>
              <w:instrText xml:space="preserve"> REF _Ref125361435 \w \h </w:instrText>
            </w:r>
            <w:r>
              <w:instrText xml:space="preserve"> \* MERGEFORMAT </w:instrText>
            </w:r>
            <w:r>
              <w:fldChar w:fldCharType="separate"/>
            </w:r>
            <w:r>
              <w:t xml:space="preserve">8.2</w:t>
            </w:r>
            <w:r>
              <w:fldChar w:fldCharType="end"/>
            </w:r>
            <w:r>
              <w:br/>
              <w:t xml:space="preserve">(</w:t>
            </w:r>
            <w:hyperlink w:tooltip="#Прил03_ТребованияУчастникам" w:anchor="Прил03_ТребованияУчастникам" w:history="1">
              <w:r>
                <w:rPr>
                  <w:rStyle w:val="1097"/>
                </w:rPr>
                <w:t xml:space="preserve">Приложение № 3</w:t>
              </w:r>
            </w:hyperlink>
            <w:r>
              <w:t xml:space="preserve">)</w:t>
            </w:r>
            <w:r/>
          </w:p>
        </w:tc>
        <w:tc>
          <w:tcPr>
            <w:tcW w:w="2090" w:type="dxa"/>
            <w:textDirection w:val="lrTb"/>
            <w:noWrap w:val="false"/>
          </w:tcPr>
          <w:p>
            <w:pPr>
              <w:pStyle w:val="1073"/>
              <w:jc w:val="center"/>
            </w:pPr>
            <w:r>
              <w:t xml:space="preserve">Орг</w:t>
            </w:r>
            <w:r/>
          </w:p>
        </w:tc>
      </w:tr>
      <w:tr>
        <w:tblPrEx/>
        <w:trPr/>
        <w:tc>
          <w:tcPr>
            <w:tcW w:w="1413" w:type="dxa"/>
            <w:textDirection w:val="lrTb"/>
            <w:noWrap w:val="false"/>
          </w:tcPr>
          <w:p>
            <w:pPr>
              <w:pStyle w:val="1073"/>
              <w:numPr>
                <w:ilvl w:val="0"/>
                <w:numId w:val="9"/>
              </w:numPr>
              <w:ind w:left="170" w:firstLine="0"/>
              <w:jc w:val="center"/>
            </w:pPr>
            <w:r/>
            <w:r/>
          </w:p>
        </w:tc>
        <w:tc>
          <w:tcPr>
            <w:tcW w:w="8505" w:type="dxa"/>
            <w:textDirection w:val="lrTb"/>
            <w:noWrap w:val="false"/>
          </w:tcPr>
          <w:p>
            <w:pPr>
              <w:pStyle w:val="1073"/>
            </w:pPr>
            <w:r>
              <w:t xml:space="preserve">Соответствие Участника пункту </w:t>
            </w:r>
            <w:r>
              <w:fldChar w:fldCharType="begin"/>
            </w:r>
            <w:r>
              <w:instrText xml:space="preserve"> REF _Ref186221607 \r \h </w:instrText>
            </w:r>
            <w:r>
              <w:fldChar w:fldCharType="separate"/>
            </w:r>
            <w:r>
              <w:t xml:space="preserve">5</w:t>
            </w:r>
            <w:r>
              <w:fldChar w:fldCharType="end"/>
            </w:r>
            <w:r>
              <w:t xml:space="preserve"> обязательных требований к Участникам</w:t>
            </w:r>
            <w:r/>
          </w:p>
          <w:p>
            <w:pPr>
              <w:pStyle w:val="1073"/>
              <w:rPr>
                <w:i/>
                <w:iCs/>
              </w:rPr>
            </w:pPr>
            <w:r>
              <w:rPr>
                <w:i/>
                <w:iCs/>
              </w:rPr>
              <w:t xml:space="preserve">(пункт применяется только в случае установления режима ограничения закупки иностранной продукции (подраздел </w:t>
            </w:r>
            <w:r>
              <w:rPr>
                <w:i/>
                <w:iCs/>
              </w:rPr>
              <w:fldChar w:fldCharType="begin"/>
            </w:r>
            <w:r>
              <w:rPr>
                <w:i/>
                <w:iCs/>
              </w:rPr>
              <w:instrText xml:space="preserve"> REF _Ref186221375 \r \h </w:instrText>
            </w:r>
            <w:r>
              <w:rPr>
                <w:i/>
                <w:iCs/>
              </w:rPr>
              <w:instrText xml:space="preserve"> \* MERGEFORMAT </w:instrText>
            </w:r>
            <w:r>
              <w:rPr>
                <w:i/>
                <w:iCs/>
              </w:rPr>
              <w:fldChar w:fldCharType="separate"/>
            </w:r>
            <w:r>
              <w:rPr>
                <w:i/>
                <w:iCs/>
              </w:rPr>
              <w:t xml:space="preserve">4.12</w:t>
            </w:r>
            <w:r>
              <w:rPr>
                <w:i/>
                <w:iCs/>
              </w:rPr>
              <w:fldChar w:fldCharType="end"/>
            </w:r>
            <w:r>
              <w:rPr>
                <w:i/>
                <w:iCs/>
              </w:rPr>
              <w:t xml:space="preserve">))</w:t>
            </w:r>
            <w:r>
              <w:rPr>
                <w:i/>
                <w:iCs/>
              </w:rPr>
            </w:r>
            <w:r>
              <w:rPr>
                <w:i/>
                <w:iCs/>
              </w:rPr>
            </w:r>
          </w:p>
        </w:tc>
        <w:tc>
          <w:tcPr>
            <w:tcW w:w="3118" w:type="dxa"/>
            <w:textDirection w:val="lrTb"/>
            <w:noWrap w:val="false"/>
          </w:tcPr>
          <w:p>
            <w:pPr>
              <w:pStyle w:val="1073"/>
              <w:jc w:val="center"/>
            </w:pPr>
            <w:r>
              <w:t xml:space="preserve">П</w:t>
            </w:r>
            <w:r>
              <w:t xml:space="preserve">одраздел</w:t>
            </w:r>
            <w:r>
              <w:t xml:space="preserve">ы </w:t>
            </w:r>
            <w:r>
              <w:fldChar w:fldCharType="begin"/>
            </w:r>
            <w:r>
              <w:instrText xml:space="preserve"> REF _Ref186221375 \r \h </w:instrText>
            </w:r>
            <w:r>
              <w:fldChar w:fldCharType="separate"/>
            </w:r>
            <w:r>
              <w:t xml:space="preserve">4.12</w:t>
            </w:r>
            <w:r>
              <w:fldChar w:fldCharType="end"/>
            </w:r>
            <w:r>
              <w:t xml:space="preserve">,</w:t>
            </w:r>
            <w:r>
              <w:t xml:space="preserve"> </w:t>
            </w:r>
            <w:r>
              <w:fldChar w:fldCharType="begin"/>
            </w:r>
            <w:r>
              <w:instrText xml:space="preserve"> REF _Ref125361435 \w \h </w:instrText>
            </w:r>
            <w:r>
              <w:instrText xml:space="preserve"> \* MERGEFORMAT </w:instrText>
            </w:r>
            <w:r>
              <w:fldChar w:fldCharType="separate"/>
            </w:r>
            <w:r>
              <w:t xml:space="preserve">8.2</w:t>
            </w:r>
            <w:r>
              <w:fldChar w:fldCharType="end"/>
            </w:r>
            <w:r>
              <w:br/>
              <w:t xml:space="preserve">(</w:t>
            </w:r>
            <w:hyperlink w:tooltip="#Прил03_ТребованияУчастникам" w:anchor="Прил03_ТребованияУчастникам" w:history="1">
              <w:r>
                <w:rPr>
                  <w:rStyle w:val="1097"/>
                </w:rPr>
                <w:t xml:space="preserve">Приложение № 3</w:t>
              </w:r>
            </w:hyperlink>
            <w:r>
              <w:t xml:space="preserve">)</w:t>
            </w:r>
            <w:r/>
          </w:p>
        </w:tc>
        <w:tc>
          <w:tcPr>
            <w:tcW w:w="2090" w:type="dxa"/>
            <w:textDirection w:val="lrTb"/>
            <w:noWrap w:val="false"/>
          </w:tcPr>
          <w:p>
            <w:pPr>
              <w:pStyle w:val="1073"/>
              <w:jc w:val="center"/>
            </w:pPr>
            <w:r>
              <w:t xml:space="preserve">Орг</w:t>
            </w:r>
            <w:r/>
          </w:p>
        </w:tc>
      </w:tr>
      <w:tr>
        <w:tblPrEx/>
        <w:trPr/>
        <w:tc>
          <w:tcPr>
            <w:tcW w:w="1413" w:type="dxa"/>
            <w:textDirection w:val="lrTb"/>
            <w:noWrap w:val="false"/>
          </w:tcPr>
          <w:p>
            <w:pPr>
              <w:pStyle w:val="1073"/>
              <w:numPr>
                <w:ilvl w:val="0"/>
                <w:numId w:val="9"/>
              </w:numPr>
              <w:ind w:left="170" w:firstLine="0"/>
              <w:jc w:val="center"/>
            </w:pPr>
            <w:r/>
            <w:r/>
          </w:p>
        </w:tc>
        <w:tc>
          <w:tcPr>
            <w:tcW w:w="8505" w:type="dxa"/>
            <w:textDirection w:val="lrTb"/>
            <w:noWrap w:val="false"/>
          </w:tcPr>
          <w:p>
            <w:pPr>
              <w:pStyle w:val="1073"/>
            </w:pPr>
            <w:r>
              <w:t xml:space="preserve">Соответствие Участника специальным требованиям</w:t>
            </w:r>
            <w:r>
              <w:t xml:space="preserve"> к Участникам</w:t>
            </w:r>
            <w:r/>
          </w:p>
          <w:p>
            <w:pPr>
              <w:pStyle w:val="1073"/>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073"/>
              <w:jc w:val="center"/>
            </w:pPr>
            <w:r>
              <w:t xml:space="preserve">подраздел </w:t>
            </w:r>
            <w:r>
              <w:fldChar w:fldCharType="begin"/>
            </w:r>
            <w:r>
              <w:instrText xml:space="preserve"> REF _Ref125361442 \r \h </w:instrText>
            </w:r>
            <w:r>
              <w:fldChar w:fldCharType="separate"/>
            </w:r>
            <w:r>
              <w:t xml:space="preserve">8.3</w:t>
            </w:r>
            <w:r>
              <w:fldChar w:fldCharType="end"/>
            </w:r>
            <w:r>
              <w:br/>
              <w:t xml:space="preserve">(</w:t>
            </w:r>
            <w:hyperlink w:tooltip="#Прил03_ТребованияУчастникам" w:anchor="Прил03_ТребованияУчастникам" w:history="1">
              <w:r>
                <w:rPr>
                  <w:rStyle w:val="1097"/>
                </w:rPr>
                <w:t xml:space="preserve">Приложение № 3</w:t>
              </w:r>
            </w:hyperlink>
            <w:r>
              <w:t xml:space="preserve">)</w:t>
            </w:r>
            <w:r/>
          </w:p>
        </w:tc>
        <w:tc>
          <w:tcPr>
            <w:tcW w:w="2090" w:type="dxa"/>
            <w:textDirection w:val="lrTb"/>
            <w:noWrap w:val="false"/>
          </w:tcPr>
          <w:p>
            <w:pPr>
              <w:pStyle w:val="1073"/>
              <w:jc w:val="center"/>
            </w:pPr>
            <w:r>
              <w:t xml:space="preserve">Тех</w:t>
            </w:r>
            <w:r/>
          </w:p>
        </w:tc>
      </w:tr>
      <w:tr>
        <w:tblPrEx/>
        <w:trPr/>
        <w:tc>
          <w:tcPr>
            <w:tcW w:w="1413" w:type="dxa"/>
            <w:textDirection w:val="lrTb"/>
            <w:noWrap w:val="false"/>
          </w:tcPr>
          <w:p>
            <w:pPr>
              <w:pStyle w:val="1073"/>
              <w:numPr>
                <w:ilvl w:val="0"/>
                <w:numId w:val="9"/>
              </w:numPr>
              <w:ind w:left="170" w:firstLine="0"/>
              <w:jc w:val="center"/>
            </w:pPr>
            <w:r/>
            <w:r/>
          </w:p>
        </w:tc>
        <w:tc>
          <w:tcPr>
            <w:tcW w:w="8505" w:type="dxa"/>
            <w:textDirection w:val="lrTb"/>
            <w:noWrap w:val="false"/>
          </w:tcPr>
          <w:p>
            <w:pPr>
              <w:pStyle w:val="1073"/>
            </w:pPr>
            <w:r>
              <w:t xml:space="preserve">Соответствие </w:t>
            </w:r>
            <w:r>
              <w:t xml:space="preserve">Генерального подрядчика</w:t>
            </w:r>
            <w:r>
              <w:t xml:space="preserve"> установленным </w:t>
            </w:r>
            <w:r>
              <w:t xml:space="preserve">в отношении его </w:t>
            </w:r>
            <w:r>
              <w:t xml:space="preserve">требованиям</w:t>
            </w:r>
            <w:r>
              <w:t xml:space="preserve">:</w:t>
            </w:r>
            <w:r/>
          </w:p>
          <w:p>
            <w:pPr>
              <w:pStyle w:val="1073"/>
              <w:rPr>
                <w:i/>
                <w:iCs/>
              </w:rPr>
            </w:pPr>
            <w:r>
              <w:rPr>
                <w:i/>
                <w:iCs/>
              </w:rPr>
              <w:t xml:space="preserve">(</w:t>
            </w:r>
            <w:r>
              <w:rPr>
                <w:i/>
                <w:iCs/>
              </w:rPr>
              <w:t xml:space="preserve">пункт применяется только в случае проведения закупки, принять участие в которой можно от лица Генерального подрядчика </w:t>
            </w:r>
            <w:r>
              <w:rPr>
                <w:i/>
                <w:iCs/>
              </w:rPr>
              <w:t xml:space="preserve">(подраздел </w:t>
            </w:r>
            <w:r>
              <w:rPr>
                <w:i/>
                <w:iCs/>
              </w:rPr>
              <w:fldChar w:fldCharType="begin"/>
            </w:r>
            <w:r>
              <w:rPr>
                <w:i/>
                <w:iCs/>
              </w:rPr>
              <w:instrText xml:space="preserve"> REF _Ref125359973 \r \h </w:instrText>
            </w:r>
            <w:r>
              <w:rPr>
                <w:i/>
                <w:iCs/>
              </w:rPr>
              <w:fldChar w:fldCharType="separate"/>
            </w:r>
            <w:r>
              <w:rPr>
                <w:i/>
                <w:iCs/>
              </w:rPr>
              <w:t xml:space="preserve">1.2</w:t>
            </w:r>
            <w:r>
              <w:rPr>
                <w:i/>
                <w:iCs/>
              </w:rPr>
              <w:fldChar w:fldCharType="end"/>
            </w:r>
            <w:r>
              <w:rPr>
                <w:i/>
                <w:iCs/>
              </w:rPr>
              <w:t xml:space="preserve">, подраздел </w:t>
            </w:r>
            <w:r>
              <w:rPr>
                <w:i/>
                <w:iCs/>
              </w:rPr>
              <w:fldChar w:fldCharType="begin"/>
            </w:r>
            <w:r>
              <w:rPr>
                <w:i/>
                <w:iCs/>
              </w:rPr>
              <w:instrText xml:space="preserve"> REF _Ref125361702 \r \h </w:instrText>
            </w:r>
            <w:r>
              <w:rPr>
                <w:i/>
                <w:iCs/>
              </w:rPr>
              <w:fldChar w:fldCharType="separate"/>
            </w:r>
            <w:r>
              <w:rPr>
                <w:i/>
                <w:iCs/>
              </w:rPr>
              <w:t xml:space="preserve">3.2</w:t>
            </w:r>
            <w:r>
              <w:rPr>
                <w:i/>
                <w:iCs/>
              </w:rPr>
              <w:fldChar w:fldCharType="end"/>
            </w:r>
            <w:r>
              <w:rPr>
                <w:i/>
                <w:iCs/>
              </w:rPr>
              <w:t xml:space="preserve">)</w:t>
            </w:r>
            <w:r>
              <w:t xml:space="preserve"> </w:t>
            </w:r>
            <w:r>
              <w:rPr>
                <w:i/>
                <w:iCs/>
              </w:rPr>
              <w:t xml:space="preserve">и заявка подана от его лица</w:t>
            </w:r>
            <w:r>
              <w:rPr>
                <w:i/>
                <w:iCs/>
              </w:rPr>
              <w:t xml:space="preserve">)</w:t>
            </w:r>
            <w:r>
              <w:rPr>
                <w:i/>
                <w:iCs/>
              </w:rPr>
            </w:r>
            <w:r>
              <w:rPr>
                <w:i/>
                <w:iCs/>
              </w:rPr>
            </w:r>
          </w:p>
        </w:tc>
        <w:tc>
          <w:tcPr>
            <w:tcW w:w="3118" w:type="dxa"/>
            <w:textDirection w:val="lrTb"/>
            <w:noWrap w:val="false"/>
          </w:tcPr>
          <w:p>
            <w:pPr>
              <w:pStyle w:val="1073"/>
              <w:jc w:val="center"/>
            </w:pPr>
            <w:r>
              <w:rPr>
                <w:b/>
                <w:bCs/>
              </w:rPr>
              <w:t xml:space="preserve">–</w:t>
            </w:r>
            <w:r/>
          </w:p>
        </w:tc>
        <w:tc>
          <w:tcPr>
            <w:tcW w:w="2090" w:type="dxa"/>
            <w:textDirection w:val="lrTb"/>
            <w:noWrap w:val="false"/>
          </w:tcPr>
          <w:p>
            <w:pPr>
              <w:pStyle w:val="1073"/>
              <w:jc w:val="center"/>
            </w:pPr>
            <w:r>
              <w:rPr>
                <w:b/>
                <w:bCs/>
              </w:rPr>
              <w:t xml:space="preserve">–</w:t>
            </w:r>
            <w:r/>
          </w:p>
        </w:tc>
      </w:tr>
      <w:tr>
        <w:tblPrEx/>
        <w:trPr/>
        <w:tc>
          <w:tcPr>
            <w:tcW w:w="1413" w:type="dxa"/>
            <w:textDirection w:val="lrTb"/>
            <w:noWrap w:val="false"/>
          </w:tcPr>
          <w:p>
            <w:pPr>
              <w:pStyle w:val="1073"/>
              <w:numPr>
                <w:ilvl w:val="1"/>
                <w:numId w:val="9"/>
              </w:numPr>
              <w:ind w:left="170" w:firstLine="0"/>
              <w:jc w:val="center"/>
            </w:pPr>
            <w:r/>
            <w:r/>
          </w:p>
        </w:tc>
        <w:tc>
          <w:tcPr>
            <w:tcW w:w="8505" w:type="dxa"/>
            <w:textDirection w:val="lrTb"/>
            <w:noWrap w:val="false"/>
          </w:tcPr>
          <w:p>
            <w:pPr>
              <w:pStyle w:val="1073"/>
              <w:numPr>
                <w:ilvl w:val="0"/>
                <w:numId w:val="12"/>
              </w:numPr>
              <w:ind w:left="284" w:hanging="284"/>
            </w:pPr>
            <w:r>
              <w:t xml:space="preserve">в части </w:t>
            </w:r>
            <w:r>
              <w:t xml:space="preserve">требований </w:t>
            </w:r>
            <w:r>
              <w:t xml:space="preserve">пунктов </w:t>
            </w:r>
            <w:r>
              <w:fldChar w:fldCharType="begin"/>
            </w:r>
            <w:r>
              <w:instrText xml:space="preserve"> REF _Ref125370187 \w \h </w:instrText>
            </w:r>
            <w:r>
              <w:fldChar w:fldCharType="separate"/>
            </w:r>
            <w:r>
              <w:t xml:space="preserve">1</w:t>
            </w:r>
            <w:r>
              <w:fldChar w:fldCharType="end"/>
            </w:r>
            <w:r>
              <w:t xml:space="preserve">, </w:t>
            </w:r>
            <w:r>
              <w:fldChar w:fldCharType="begin"/>
            </w:r>
            <w:r>
              <w:instrText xml:space="preserve"> REF _Ref125553847 \w \h </w:instrText>
            </w:r>
            <w:r>
              <w:fldChar w:fldCharType="separate"/>
            </w:r>
            <w:r>
              <w:t xml:space="preserve">3</w:t>
            </w:r>
            <w:r>
              <w:fldChar w:fldCharType="end"/>
            </w:r>
            <w:r/>
          </w:p>
        </w:tc>
        <w:tc>
          <w:tcPr>
            <w:tcW w:w="3118" w:type="dxa"/>
            <w:textDirection w:val="lrTb"/>
            <w:noWrap w:val="false"/>
          </w:tcPr>
          <w:p>
            <w:pPr>
              <w:pStyle w:val="1073"/>
              <w:jc w:val="center"/>
            </w:pPr>
            <w:r>
              <w:t xml:space="preserve">подраздел </w:t>
            </w:r>
            <w:r>
              <w:fldChar w:fldCharType="begin"/>
            </w:r>
            <w:r>
              <w:instrText xml:space="preserve"> REF _Ref125709777 \r \h </w:instrText>
            </w:r>
            <w:r>
              <w:fldChar w:fldCharType="separate"/>
            </w:r>
            <w:r>
              <w:t xml:space="preserve">8.4</w:t>
            </w:r>
            <w:r>
              <w:fldChar w:fldCharType="end"/>
            </w:r>
            <w:r>
              <w:br/>
              <w:t xml:space="preserve">(</w:t>
            </w:r>
            <w:hyperlink w:tooltip="#Прил03_ТребованияУчастникам" w:anchor="Прил03_ТребованияУчастникам" w:history="1">
              <w:r>
                <w:rPr>
                  <w:rStyle w:val="1097"/>
                </w:rPr>
                <w:t xml:space="preserve">Приложение № 3</w:t>
              </w:r>
            </w:hyperlink>
            <w:r>
              <w:t xml:space="preserve">)</w:t>
            </w:r>
            <w:r/>
          </w:p>
        </w:tc>
        <w:tc>
          <w:tcPr>
            <w:tcW w:w="2090" w:type="dxa"/>
            <w:textDirection w:val="lrTb"/>
            <w:noWrap w:val="false"/>
          </w:tcPr>
          <w:p>
            <w:pPr>
              <w:pStyle w:val="1073"/>
              <w:jc w:val="center"/>
            </w:pPr>
            <w:r>
              <w:t xml:space="preserve">Тех</w:t>
            </w:r>
            <w:r/>
          </w:p>
        </w:tc>
      </w:tr>
      <w:tr>
        <w:tblPrEx/>
        <w:trPr/>
        <w:tc>
          <w:tcPr>
            <w:tcW w:w="1413" w:type="dxa"/>
            <w:textDirection w:val="lrTb"/>
            <w:noWrap w:val="false"/>
          </w:tcPr>
          <w:p>
            <w:pPr>
              <w:pStyle w:val="1073"/>
              <w:numPr>
                <w:ilvl w:val="1"/>
                <w:numId w:val="9"/>
              </w:numPr>
              <w:ind w:left="170" w:firstLine="0"/>
              <w:jc w:val="center"/>
            </w:pPr>
            <w:r/>
            <w:r/>
          </w:p>
        </w:tc>
        <w:tc>
          <w:tcPr>
            <w:tcW w:w="8505" w:type="dxa"/>
            <w:textDirection w:val="lrTb"/>
            <w:noWrap w:val="false"/>
          </w:tcPr>
          <w:p>
            <w:pPr>
              <w:pStyle w:val="1073"/>
              <w:numPr>
                <w:ilvl w:val="0"/>
                <w:numId w:val="12"/>
              </w:numPr>
              <w:ind w:left="284" w:hanging="284"/>
            </w:pPr>
            <w:r>
              <w:t xml:space="preserve">в части </w:t>
            </w:r>
            <w:r>
              <w:t xml:space="preserve">требований </w:t>
            </w:r>
            <w:r>
              <w:t xml:space="preserve">пункта </w:t>
            </w:r>
            <w:r>
              <w:fldChar w:fldCharType="begin"/>
            </w:r>
            <w:r>
              <w:instrText xml:space="preserve"> REF _Ref125370193 \w \h </w:instrText>
            </w:r>
            <w:r>
              <w:instrText xml:space="preserve"> \* MERGEFORMAT </w:instrText>
            </w:r>
            <w:r>
              <w:fldChar w:fldCharType="separate"/>
            </w:r>
            <w:r>
              <w:t xml:space="preserve">2</w:t>
            </w:r>
            <w:r>
              <w:fldChar w:fldCharType="end"/>
            </w:r>
            <w:r/>
          </w:p>
        </w:tc>
        <w:tc>
          <w:tcPr>
            <w:tcW w:w="3118" w:type="dxa"/>
            <w:textDirection w:val="lrTb"/>
            <w:noWrap w:val="false"/>
          </w:tcPr>
          <w:p>
            <w:pPr>
              <w:pStyle w:val="1073"/>
              <w:jc w:val="center"/>
            </w:pPr>
            <w:r>
              <w:t xml:space="preserve">подраздел </w:t>
            </w:r>
            <w:r>
              <w:fldChar w:fldCharType="begin"/>
            </w:r>
            <w:r>
              <w:instrText xml:space="preserve"> REF _Ref125709777 \r \h </w:instrText>
            </w:r>
            <w:r>
              <w:fldChar w:fldCharType="separate"/>
            </w:r>
            <w:r>
              <w:t xml:space="preserve">8.4</w:t>
            </w:r>
            <w:r>
              <w:fldChar w:fldCharType="end"/>
            </w:r>
            <w:r>
              <w:br/>
              <w:t xml:space="preserve">(</w:t>
            </w:r>
            <w:hyperlink w:tooltip="#Прил03_ТребованияУчастникам" w:anchor="Прил03_ТребованияУчастникам" w:history="1">
              <w:r>
                <w:rPr>
                  <w:rStyle w:val="1097"/>
                </w:rPr>
                <w:t xml:space="preserve">Приложение № 3</w:t>
              </w:r>
            </w:hyperlink>
            <w:r>
              <w:t xml:space="preserve">)</w:t>
            </w:r>
            <w:r/>
          </w:p>
        </w:tc>
        <w:tc>
          <w:tcPr>
            <w:tcW w:w="2090" w:type="dxa"/>
            <w:textDirection w:val="lrTb"/>
            <w:noWrap w:val="false"/>
          </w:tcPr>
          <w:p>
            <w:pPr>
              <w:pStyle w:val="1073"/>
              <w:jc w:val="center"/>
            </w:pPr>
            <w:r>
              <w:t xml:space="preserve">Орг</w:t>
            </w:r>
            <w:r>
              <w:t xml:space="preserve">,</w:t>
            </w:r>
            <w:r>
              <w:t xml:space="preserve"> </w:t>
            </w:r>
            <w:r>
              <w:t xml:space="preserve">Тех</w:t>
            </w:r>
            <w:r/>
          </w:p>
        </w:tc>
      </w:tr>
      <w:tr>
        <w:tblPrEx/>
        <w:trPr/>
        <w:tc>
          <w:tcPr>
            <w:gridSpan w:val="2"/>
            <w:tcW w:w="9918" w:type="dxa"/>
            <w:textDirection w:val="lrTb"/>
            <w:noWrap w:val="false"/>
          </w:tcPr>
          <w:p>
            <w:pPr>
              <w:pStyle w:val="1073"/>
              <w:keepNext/>
              <w:rPr>
                <w:b/>
                <w:bCs/>
              </w:rPr>
            </w:pPr>
            <w:r>
              <w:rPr>
                <w:b/>
                <w:bCs/>
              </w:rPr>
              <w:t xml:space="preserve">Соответствие </w:t>
            </w:r>
            <w:r>
              <w:rPr>
                <w:b/>
                <w:bCs/>
              </w:rPr>
              <w:t xml:space="preserve">Т</w:t>
            </w:r>
            <w:r>
              <w:rPr>
                <w:b/>
                <w:bCs/>
              </w:rPr>
              <w:t xml:space="preserve">ехническ</w:t>
            </w:r>
            <w:r>
              <w:rPr>
                <w:b/>
                <w:bCs/>
              </w:rPr>
              <w:t xml:space="preserve">ого</w:t>
            </w:r>
            <w:r>
              <w:rPr>
                <w:b/>
                <w:bCs/>
              </w:rPr>
              <w:t xml:space="preserve"> предложени</w:t>
            </w:r>
            <w:r>
              <w:rPr>
                <w:b/>
                <w:bCs/>
              </w:rPr>
              <w:t xml:space="preserve">я</w:t>
            </w:r>
            <w:r>
              <w:rPr>
                <w:b/>
                <w:bCs/>
              </w:rPr>
              <w:t xml:space="preserve"> </w:t>
            </w:r>
            <w:r>
              <w:rPr>
                <w:b/>
                <w:bCs/>
              </w:rPr>
              <w:t xml:space="preserve">Участника </w:t>
            </w:r>
            <w:hyperlink w:tooltip="#Прил01_ТехТребования" w:anchor="Прил01_ТехТребования" w:history="1">
              <w:r>
                <w:rPr>
                  <w:rStyle w:val="1097"/>
                  <w:b/>
                  <w:bCs/>
                </w:rPr>
                <w:t xml:space="preserve">Техническим требованиям (Приложение № 1)</w:t>
              </w:r>
            </w:hyperlink>
            <w:r>
              <w:rPr>
                <w:b/>
                <w:bCs/>
              </w:rPr>
              <w:t xml:space="preserve">, в том числе:</w:t>
            </w:r>
            <w:r>
              <w:rPr>
                <w:b/>
                <w:bCs/>
              </w:rPr>
            </w:r>
            <w:r>
              <w:rPr>
                <w:b/>
                <w:bCs/>
              </w:rPr>
            </w:r>
          </w:p>
        </w:tc>
        <w:tc>
          <w:tcPr>
            <w:tcW w:w="3118" w:type="dxa"/>
            <w:textDirection w:val="lrTb"/>
            <w:noWrap w:val="false"/>
          </w:tcPr>
          <w:p>
            <w:pPr>
              <w:pStyle w:val="1073"/>
              <w:jc w:val="center"/>
              <w:keepNext/>
              <w:rPr>
                <w:b/>
                <w:bCs/>
              </w:rPr>
            </w:pPr>
            <w:r>
              <w:rPr>
                <w:b/>
                <w:bCs/>
              </w:rPr>
              <w:t xml:space="preserve">–</w:t>
            </w:r>
            <w:r>
              <w:rPr>
                <w:b/>
                <w:bCs/>
              </w:rPr>
            </w:r>
            <w:r>
              <w:rPr>
                <w:b/>
                <w:bCs/>
              </w:rPr>
            </w:r>
          </w:p>
        </w:tc>
        <w:tc>
          <w:tcPr>
            <w:tcW w:w="2090" w:type="dxa"/>
            <w:textDirection w:val="lrTb"/>
            <w:noWrap w:val="false"/>
          </w:tcPr>
          <w:p>
            <w:pPr>
              <w:pStyle w:val="1073"/>
              <w:jc w:val="center"/>
              <w:keepNext/>
              <w:rPr>
                <w:b/>
                <w:bCs/>
              </w:rPr>
            </w:pPr>
            <w:r>
              <w:rPr>
                <w:b/>
                <w:bCs/>
              </w:rPr>
              <w:t xml:space="preserve">–</w:t>
            </w:r>
            <w:r>
              <w:rPr>
                <w:b/>
                <w:bCs/>
              </w:rPr>
            </w:r>
            <w:r>
              <w:rPr>
                <w:b/>
                <w:bCs/>
              </w:rPr>
            </w:r>
          </w:p>
        </w:tc>
      </w:tr>
      <w:tr>
        <w:tblPrEx/>
        <w:trPr/>
        <w:tc>
          <w:tcPr>
            <w:tcW w:w="1413" w:type="dxa"/>
            <w:textDirection w:val="lrTb"/>
            <w:noWrap w:val="false"/>
          </w:tcPr>
          <w:p>
            <w:pPr>
              <w:pStyle w:val="1073"/>
              <w:numPr>
                <w:ilvl w:val="0"/>
                <w:numId w:val="9"/>
              </w:numPr>
              <w:ind w:left="170" w:firstLine="0"/>
              <w:jc w:val="center"/>
            </w:pPr>
            <w:r/>
            <w:r/>
          </w:p>
        </w:tc>
        <w:tc>
          <w:tcPr>
            <w:tcW w:w="8505" w:type="dxa"/>
            <w:textDirection w:val="lrTb"/>
            <w:noWrap w:val="false"/>
          </w:tcPr>
          <w:p>
            <w:pPr>
              <w:pStyle w:val="1073"/>
            </w:pPr>
            <w:r>
              <w:t xml:space="preserve">Соответствие предложения требованиям к стране происхождения поставляемого товара, </w:t>
            </w:r>
            <w:r>
              <w:t xml:space="preserve">установленны</w:t>
            </w:r>
            <w:r>
              <w:t xml:space="preserve">м</w:t>
            </w:r>
            <w:r>
              <w:t xml:space="preserve"> в Технических</w:t>
            </w:r>
            <w:r>
              <w:t xml:space="preserve"> требованиях</w:t>
            </w:r>
            <w:r/>
          </w:p>
          <w:p>
            <w:pPr>
              <w:pStyle w:val="1073"/>
              <w:rPr>
                <w:i/>
                <w:iCs/>
              </w:rPr>
            </w:pPr>
            <w:r>
              <w:rPr>
                <w:i/>
                <w:iCs/>
              </w:rPr>
              <w:t xml:space="preserve">(пункт применяется только в случае </w:t>
            </w:r>
            <w:r>
              <w:rPr>
                <w:i/>
                <w:iCs/>
              </w:rPr>
              <w:t xml:space="preserve">исполнения Заказчиком</w:t>
            </w:r>
            <w:r>
              <w:t xml:space="preserve"> </w:t>
            </w:r>
            <w:r>
              <w:rPr>
                <w:i/>
                <w:iCs/>
              </w:rPr>
              <w:t xml:space="preserve">норм в части минимальной обязательной доли закупок товаров российского происхождения</w:t>
            </w:r>
            <w:r>
              <w:rPr>
                <w:i/>
                <w:iCs/>
              </w:rPr>
              <w:t xml:space="preserve"> (подраздел </w:t>
            </w:r>
            <w:r>
              <w:rPr>
                <w:i/>
                <w:iCs/>
              </w:rPr>
              <w:fldChar w:fldCharType="begin"/>
            </w:r>
            <w:r>
              <w:rPr>
                <w:i/>
                <w:iCs/>
              </w:rPr>
              <w:instrText xml:space="preserve"> REF _Ref186221375 \r \h </w:instrText>
            </w:r>
            <w:r>
              <w:rPr>
                <w:i/>
                <w:iCs/>
              </w:rPr>
              <w:instrText xml:space="preserve"> \* MERGEFORMAT </w:instrText>
            </w:r>
            <w:r>
              <w:rPr>
                <w:i/>
                <w:iCs/>
              </w:rPr>
              <w:fldChar w:fldCharType="separate"/>
            </w:r>
            <w:r>
              <w:rPr>
                <w:i/>
                <w:iCs/>
              </w:rPr>
              <w:t xml:space="preserve">4.12</w:t>
            </w:r>
            <w:r>
              <w:rPr>
                <w:i/>
                <w:iCs/>
              </w:rPr>
              <w:fldChar w:fldCharType="end"/>
            </w:r>
            <w:r>
              <w:rPr>
                <w:i/>
                <w:iCs/>
              </w:rPr>
              <w:t xml:space="preserve">))</w:t>
            </w:r>
            <w:r>
              <w:rPr>
                <w:i/>
                <w:iCs/>
              </w:rPr>
            </w:r>
            <w:r>
              <w:rPr>
                <w:i/>
                <w:iCs/>
              </w:rPr>
            </w:r>
          </w:p>
        </w:tc>
        <w:tc>
          <w:tcPr>
            <w:tcW w:w="3118" w:type="dxa"/>
            <w:textDirection w:val="lrTb"/>
            <w:noWrap w:val="false"/>
          </w:tcPr>
          <w:p>
            <w:pPr>
              <w:pStyle w:val="1073"/>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_Ref186221375 \r \h </w:instrText>
            </w:r>
            <w:r>
              <w:fldChar w:fldCharType="separate"/>
            </w:r>
            <w:r>
              <w:t xml:space="preserve">4.12</w:t>
            </w:r>
            <w:r>
              <w:fldChar w:fldCharType="end"/>
            </w:r>
            <w:r>
              <w:br/>
            </w:r>
            <w:hyperlink w:tooltip="#Прил01_ТехТребования" w:anchor="Прил01_ТехТребования" w:history="1">
              <w:r>
                <w:rPr>
                  <w:rStyle w:val="1097"/>
                </w:rPr>
                <w:t xml:space="preserve">Приложение № 1</w:t>
              </w:r>
            </w:hyperlink>
            <w:r/>
            <w:r/>
          </w:p>
        </w:tc>
        <w:tc>
          <w:tcPr>
            <w:tcW w:w="2090" w:type="dxa"/>
            <w:textDirection w:val="lrTb"/>
            <w:noWrap w:val="false"/>
          </w:tcPr>
          <w:p>
            <w:pPr>
              <w:pStyle w:val="1073"/>
              <w:jc w:val="center"/>
            </w:pPr>
            <w:r>
              <w:t xml:space="preserve">Тех</w:t>
            </w:r>
            <w:r/>
          </w:p>
        </w:tc>
      </w:tr>
      <w:tr>
        <w:tblPrEx/>
        <w:trPr/>
        <w:tc>
          <w:tcPr>
            <w:tcW w:w="1413" w:type="dxa"/>
            <w:textDirection w:val="lrTb"/>
            <w:noWrap w:val="false"/>
          </w:tcPr>
          <w:p>
            <w:pPr>
              <w:pStyle w:val="1073"/>
              <w:numPr>
                <w:ilvl w:val="0"/>
                <w:numId w:val="9"/>
              </w:numPr>
              <w:ind w:left="170" w:firstLine="0"/>
              <w:jc w:val="center"/>
            </w:pPr>
            <w:r/>
            <w:r/>
          </w:p>
        </w:tc>
        <w:tc>
          <w:tcPr>
            <w:tcW w:w="8505" w:type="dxa"/>
            <w:textDirection w:val="lrTb"/>
            <w:noWrap w:val="false"/>
          </w:tcPr>
          <w:p>
            <w:pPr>
              <w:pStyle w:val="1073"/>
            </w:pPr>
            <w:r>
              <w:t xml:space="preserve">Соответствие объ</w:t>
            </w:r>
            <w:r>
              <w:t xml:space="preserve">е</w:t>
            </w:r>
            <w:r>
              <w:t xml:space="preserve">мов и состава работ / услуг, технологии производства работ, предложенных Участником в </w:t>
            </w:r>
            <w:r>
              <w:t xml:space="preserve">Т</w:t>
            </w:r>
            <w:r>
              <w:t xml:space="preserve">ехническом предложении</w:t>
            </w:r>
            <w:r>
              <w:t xml:space="preserve">, Коммерческом предложении и (или) прилагаемой к нему подтверждающей документации</w:t>
            </w:r>
            <w:r>
              <w:t xml:space="preserve">, требованиям, </w:t>
            </w:r>
            <w:r>
              <w:t xml:space="preserve">указанным в</w:t>
            </w:r>
            <w:r>
              <w:t xml:space="preserve"> </w:t>
            </w:r>
            <w:hyperlink w:tooltip="#Прил01_ТехТребования" w:anchor="Прил01_ТехТребования" w:history="1">
              <w:r>
                <w:rPr>
                  <w:rStyle w:val="1097"/>
                </w:rPr>
                <w:t xml:space="preserve">Технически</w:t>
              </w:r>
              <w:r>
                <w:rPr>
                  <w:rStyle w:val="1097"/>
                </w:rPr>
                <w:t xml:space="preserve">х</w:t>
              </w:r>
              <w:r>
                <w:rPr>
                  <w:rStyle w:val="1097"/>
                </w:rPr>
                <w:t xml:space="preserve"> требованиях (Приложение № 1)</w:t>
              </w:r>
            </w:hyperlink>
            <w:r/>
            <w:r/>
          </w:p>
        </w:tc>
        <w:tc>
          <w:tcPr>
            <w:tcW w:w="3118" w:type="dxa"/>
            <w:textDirection w:val="lrTb"/>
            <w:noWrap w:val="false"/>
          </w:tcPr>
          <w:p>
            <w:pPr>
              <w:pStyle w:val="1073"/>
              <w:jc w:val="center"/>
            </w:pPr>
            <w:r>
              <w:t xml:space="preserve">подраздел </w:t>
            </w:r>
            <w:r>
              <w:fldChar w:fldCharType="begin"/>
            </w:r>
            <w:r>
              <w:instrText xml:space="preserve"> REF _Ref130394681 \r \h </w:instrText>
            </w:r>
            <w:r>
              <w:fldChar w:fldCharType="separate"/>
            </w:r>
            <w:r>
              <w:t xml:space="preserve">4.3</w:t>
            </w:r>
            <w:r>
              <w:fldChar w:fldCharType="end"/>
            </w:r>
            <w:r>
              <w:br/>
            </w:r>
            <w:hyperlink w:tooltip="#Прил01_ТехТребования" w:anchor="Прил01_ТехТребования" w:history="1">
              <w:r>
                <w:rPr>
                  <w:rStyle w:val="1097"/>
                </w:rPr>
                <w:t xml:space="preserve">Приложение № 1</w:t>
              </w:r>
            </w:hyperlink>
            <w:r/>
            <w:r/>
          </w:p>
        </w:tc>
        <w:tc>
          <w:tcPr>
            <w:tcW w:w="2090" w:type="dxa"/>
            <w:textDirection w:val="lrTb"/>
            <w:noWrap w:val="false"/>
          </w:tcPr>
          <w:p>
            <w:pPr>
              <w:pStyle w:val="1073"/>
              <w:jc w:val="center"/>
            </w:pPr>
            <w:r>
              <w:t xml:space="preserve">Тех</w:t>
            </w:r>
            <w:r/>
          </w:p>
        </w:tc>
      </w:tr>
      <w:tr>
        <w:tblPrEx/>
        <w:trPr/>
        <w:tc>
          <w:tcPr>
            <w:tcW w:w="1413" w:type="dxa"/>
            <w:textDirection w:val="lrTb"/>
            <w:noWrap w:val="false"/>
          </w:tcPr>
          <w:p>
            <w:pPr>
              <w:pStyle w:val="1073"/>
              <w:numPr>
                <w:ilvl w:val="0"/>
                <w:numId w:val="9"/>
              </w:numPr>
              <w:ind w:left="170" w:firstLine="0"/>
              <w:jc w:val="center"/>
            </w:pPr>
            <w:r/>
            <w:r/>
          </w:p>
        </w:tc>
        <w:tc>
          <w:tcPr>
            <w:tcW w:w="8505" w:type="dxa"/>
            <w:textDirection w:val="lrTb"/>
            <w:noWrap w:val="false"/>
          </w:tcPr>
          <w:p>
            <w:pPr>
              <w:pStyle w:val="1073"/>
            </w:pPr>
            <w:r>
              <w:t xml:space="preserve">Соответствие номенклатуры, количества и характеристик материалов / оборудования, предложенных Участником в </w:t>
            </w:r>
            <w:r>
              <w:t xml:space="preserve">Т</w:t>
            </w:r>
            <w:r>
              <w:t xml:space="preserve">ехническом предложении</w:t>
            </w:r>
            <w:r>
              <w:t xml:space="preserve">, Коммерческом предложении и (или) прилагаемой к нему подтверждающей документации</w:t>
            </w:r>
            <w:r>
              <w:t xml:space="preserve">, </w:t>
            </w:r>
            <w:r>
              <w:t xml:space="preserve">требованиям, указанным в</w:t>
            </w:r>
            <w:r>
              <w:t xml:space="preserve"> </w:t>
            </w:r>
            <w:hyperlink w:tooltip="#Прил01_ТехТребования" w:anchor="Прил01_ТехТребования" w:history="1">
              <w:r>
                <w:rPr>
                  <w:rStyle w:val="1097"/>
                </w:rPr>
                <w:t xml:space="preserve">Технически</w:t>
              </w:r>
              <w:r>
                <w:rPr>
                  <w:rStyle w:val="1097"/>
                </w:rPr>
                <w:t xml:space="preserve">х</w:t>
              </w:r>
              <w:r>
                <w:rPr>
                  <w:rStyle w:val="1097"/>
                </w:rPr>
                <w:t xml:space="preserve"> требованиях (Приложение № 1)</w:t>
              </w:r>
            </w:hyperlink>
            <w:r/>
            <w:r/>
          </w:p>
        </w:tc>
        <w:tc>
          <w:tcPr>
            <w:tcW w:w="3118" w:type="dxa"/>
            <w:textDirection w:val="lrTb"/>
            <w:noWrap w:val="false"/>
          </w:tcPr>
          <w:p>
            <w:pPr>
              <w:pStyle w:val="1073"/>
              <w:jc w:val="center"/>
            </w:pPr>
            <w:r>
              <w:t xml:space="preserve">подраздел</w:t>
            </w:r>
            <w:r>
              <w:t xml:space="preserve">ы</w:t>
            </w:r>
            <w:r>
              <w:t xml:space="preserve">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_Ref186221375 \r \h </w:instrText>
            </w:r>
            <w:r>
              <w:fldChar w:fldCharType="separate"/>
            </w:r>
            <w:r>
              <w:t xml:space="preserve">4.12</w:t>
            </w:r>
            <w:r>
              <w:fldChar w:fldCharType="end"/>
            </w:r>
            <w:r>
              <w:br/>
            </w:r>
            <w:hyperlink w:tooltip="#Прил01_ТехТребования" w:anchor="Прил01_ТехТребования" w:history="1">
              <w:r>
                <w:rPr>
                  <w:rStyle w:val="1097"/>
                </w:rPr>
                <w:t xml:space="preserve">Приложение № 1</w:t>
              </w:r>
            </w:hyperlink>
            <w:r/>
            <w:r/>
          </w:p>
        </w:tc>
        <w:tc>
          <w:tcPr>
            <w:tcW w:w="2090" w:type="dxa"/>
            <w:textDirection w:val="lrTb"/>
            <w:noWrap w:val="false"/>
          </w:tcPr>
          <w:p>
            <w:pPr>
              <w:pStyle w:val="1073"/>
              <w:jc w:val="center"/>
            </w:pPr>
            <w:r>
              <w:t xml:space="preserve">Тех</w:t>
            </w:r>
            <w:r/>
          </w:p>
        </w:tc>
      </w:tr>
      <w:tr>
        <w:tblPrEx/>
        <w:trPr/>
        <w:tc>
          <w:tcPr>
            <w:tcW w:w="1413" w:type="dxa"/>
            <w:textDirection w:val="lrTb"/>
            <w:noWrap w:val="false"/>
          </w:tcPr>
          <w:p>
            <w:pPr>
              <w:pStyle w:val="1073"/>
              <w:numPr>
                <w:ilvl w:val="0"/>
                <w:numId w:val="9"/>
              </w:numPr>
              <w:ind w:left="170" w:firstLine="0"/>
              <w:jc w:val="center"/>
            </w:pPr>
            <w:r/>
            <w:r/>
          </w:p>
        </w:tc>
        <w:tc>
          <w:tcPr>
            <w:tcW w:w="8505" w:type="dxa"/>
            <w:textDirection w:val="lrTb"/>
            <w:noWrap w:val="false"/>
          </w:tcPr>
          <w:p>
            <w:pPr>
              <w:pStyle w:val="1073"/>
            </w:pPr>
            <w:r>
              <w:t xml:space="preserve">Соответствие</w:t>
            </w:r>
            <w:r>
              <w:t xml:space="preserve"> </w:t>
            </w:r>
            <w:r>
              <w:t xml:space="preserve">срок</w:t>
            </w:r>
            <w:r>
              <w:t xml:space="preserve">ов</w:t>
            </w:r>
            <w:r>
              <w:t xml:space="preserve"> </w:t>
            </w:r>
            <w:r>
              <w:t xml:space="preserve">(</w:t>
            </w:r>
            <w:r>
              <w:t xml:space="preserve">и</w:t>
            </w:r>
            <w:r>
              <w:t xml:space="preserve"> (или)</w:t>
            </w:r>
            <w:r>
              <w:t xml:space="preserve"> этап</w:t>
            </w:r>
            <w:r>
              <w:t xml:space="preserve">ов)</w:t>
            </w:r>
            <w:r>
              <w:t xml:space="preserve"> реализации Договора</w:t>
            </w:r>
            <w:r>
              <w:t xml:space="preserve">, предложенных Участником </w:t>
            </w:r>
            <w:r>
              <w:t xml:space="preserve">в </w:t>
            </w:r>
            <w:r>
              <w:t xml:space="preserve">Т</w:t>
            </w:r>
            <w:r>
              <w:t xml:space="preserve">ехническом предложении</w:t>
            </w:r>
            <w:r>
              <w:t xml:space="preserve">, указанным в </w:t>
            </w:r>
            <w:hyperlink w:tooltip="#Прил01_ТехТребования" w:anchor="Прил01_ТехТребования" w:history="1">
              <w:r>
                <w:rPr>
                  <w:rStyle w:val="1097"/>
                </w:rPr>
                <w:t xml:space="preserve">Технически</w:t>
              </w:r>
              <w:r>
                <w:rPr>
                  <w:rStyle w:val="1097"/>
                </w:rPr>
                <w:t xml:space="preserve">х</w:t>
              </w:r>
              <w:r>
                <w:rPr>
                  <w:rStyle w:val="1097"/>
                </w:rPr>
                <w:t xml:space="preserve"> требованиях (Приложение № 1)</w:t>
              </w:r>
            </w:hyperlink>
            <w:r>
              <w:t xml:space="preserve"> </w:t>
            </w:r>
            <w:r>
              <w:t xml:space="preserve">и</w:t>
            </w:r>
            <w:r>
              <w:t xml:space="preserve"> (</w:t>
            </w:r>
            <w:r>
              <w:t xml:space="preserve">или</w:t>
            </w:r>
            <w:r>
              <w:t xml:space="preserve">) в </w:t>
            </w:r>
            <w:hyperlink w:tooltip="#Прил02_ПроектДоговора" w:anchor="Прил02_ПроектДоговора" w:history="1">
              <w:r>
                <w:rPr>
                  <w:rStyle w:val="1097"/>
                </w:rPr>
                <w:t xml:space="preserve">Проекте договора (Приложение № 2)</w:t>
              </w:r>
            </w:hyperlink>
            <w:r>
              <w:t xml:space="preserve">, или согласие с ними в Письме о подаче оферты</w:t>
            </w:r>
            <w:r/>
          </w:p>
        </w:tc>
        <w:tc>
          <w:tcPr>
            <w:tcW w:w="3118" w:type="dxa"/>
            <w:textDirection w:val="lrTb"/>
            <w:noWrap w:val="false"/>
          </w:tcPr>
          <w:p>
            <w:pPr>
              <w:pStyle w:val="1073"/>
              <w:jc w:val="center"/>
            </w:pPr>
            <w:r/>
            <w:hyperlink w:tooltip="#Прил01_ТехТребования" w:anchor="Прил01_ТехТребования" w:history="1">
              <w:r>
                <w:rPr>
                  <w:rStyle w:val="1097"/>
                </w:rPr>
                <w:t xml:space="preserve">Приложение № 1</w:t>
              </w:r>
            </w:hyperlink>
            <w:r>
              <w:t xml:space="preserve">,</w:t>
            </w:r>
            <w:r>
              <w:br/>
            </w:r>
            <w:hyperlink w:tooltip="#Прил02_ПроектДоговора" w:anchor="Прил02_ПроектДоговора" w:history="1">
              <w:r>
                <w:rPr>
                  <w:rStyle w:val="1097"/>
                </w:rPr>
                <w:t xml:space="preserve">Приложение № 2</w:t>
              </w:r>
            </w:hyperlink>
            <w:r/>
            <w:r/>
          </w:p>
        </w:tc>
        <w:tc>
          <w:tcPr>
            <w:tcW w:w="2090" w:type="dxa"/>
            <w:textDirection w:val="lrTb"/>
            <w:noWrap w:val="false"/>
          </w:tcPr>
          <w:p>
            <w:pPr>
              <w:pStyle w:val="1073"/>
              <w:jc w:val="center"/>
            </w:pPr>
            <w:r>
              <w:t xml:space="preserve">Тех</w:t>
            </w:r>
            <w:r/>
          </w:p>
        </w:tc>
      </w:tr>
      <w:tr>
        <w:tblPrEx/>
        <w:trPr/>
        <w:tc>
          <w:tcPr>
            <w:tcW w:w="1413" w:type="dxa"/>
            <w:textDirection w:val="lrTb"/>
            <w:noWrap w:val="false"/>
          </w:tcPr>
          <w:p>
            <w:pPr>
              <w:pStyle w:val="1073"/>
              <w:numPr>
                <w:ilvl w:val="0"/>
                <w:numId w:val="9"/>
              </w:numPr>
              <w:ind w:left="170" w:firstLine="0"/>
              <w:jc w:val="center"/>
            </w:pPr>
            <w:r/>
            <w:r/>
          </w:p>
        </w:tc>
        <w:tc>
          <w:tcPr>
            <w:tcW w:w="8505" w:type="dxa"/>
            <w:textDirection w:val="lrTb"/>
            <w:noWrap w:val="false"/>
          </w:tcPr>
          <w:p>
            <w:pPr>
              <w:pStyle w:val="1073"/>
            </w:pPr>
            <w:r>
              <w:t xml:space="preserve">Соответствие требованиям к гарантии на поставляемые материалы / оборудование и результаты выполненных работ</w:t>
            </w:r>
            <w:r>
              <w:t xml:space="preserve">, указанным в </w:t>
            </w:r>
            <w:hyperlink w:tooltip="#Прил01_ТехТребования" w:anchor="Прил01_ТехТребования" w:history="1">
              <w:r>
                <w:rPr>
                  <w:rStyle w:val="1097"/>
                </w:rPr>
                <w:t xml:space="preserve">Технически</w:t>
              </w:r>
              <w:r>
                <w:rPr>
                  <w:rStyle w:val="1097"/>
                </w:rPr>
                <w:t xml:space="preserve">х</w:t>
              </w:r>
              <w:r>
                <w:rPr>
                  <w:rStyle w:val="1097"/>
                </w:rPr>
                <w:t xml:space="preserve"> требованиях (Приложение № 1)</w:t>
              </w:r>
            </w:hyperlink>
            <w:r>
              <w:t xml:space="preserve"> </w:t>
            </w:r>
            <w:r>
              <w:t xml:space="preserve">и</w:t>
            </w:r>
            <w:r>
              <w:t xml:space="preserve"> (</w:t>
            </w:r>
            <w:r>
              <w:t xml:space="preserve">или</w:t>
            </w:r>
            <w:r>
              <w:t xml:space="preserve">) в </w:t>
            </w:r>
            <w:hyperlink w:tooltip="#Прил02_ПроектДоговора" w:anchor="Прил02_ПроектДоговора" w:history="1">
              <w:r>
                <w:rPr>
                  <w:rStyle w:val="1097"/>
                </w:rPr>
                <w:t xml:space="preserve">Проекте договора (Приложение № 2)</w:t>
              </w:r>
            </w:hyperlink>
            <w:r/>
            <w:r/>
          </w:p>
          <w:p>
            <w:pPr>
              <w:pStyle w:val="1073"/>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073"/>
              <w:jc w:val="center"/>
            </w:pPr>
            <w:r/>
            <w:hyperlink w:tooltip="#Прил01_ТехТребования" w:anchor="Прил01_ТехТребования" w:history="1">
              <w:r>
                <w:rPr>
                  <w:rStyle w:val="1097"/>
                </w:rPr>
                <w:t xml:space="preserve">Приложение № 1</w:t>
              </w:r>
            </w:hyperlink>
            <w:r>
              <w:t xml:space="preserve">,</w:t>
            </w:r>
            <w:r>
              <w:br/>
            </w:r>
            <w:hyperlink w:tooltip="#Прил02_ПроектДоговора" w:anchor="Прил02_ПроектДоговора" w:history="1">
              <w:r>
                <w:rPr>
                  <w:rStyle w:val="1097"/>
                </w:rPr>
                <w:t xml:space="preserve">Приложение № 2</w:t>
              </w:r>
            </w:hyperlink>
            <w:r/>
            <w:r/>
          </w:p>
        </w:tc>
        <w:tc>
          <w:tcPr>
            <w:tcW w:w="2090" w:type="dxa"/>
            <w:textDirection w:val="lrTb"/>
            <w:noWrap w:val="false"/>
          </w:tcPr>
          <w:p>
            <w:pPr>
              <w:pStyle w:val="1073"/>
              <w:jc w:val="center"/>
            </w:pPr>
            <w:r>
              <w:t xml:space="preserve">Тех</w:t>
            </w:r>
            <w:r/>
          </w:p>
        </w:tc>
      </w:tr>
      <w:tr>
        <w:tblPrEx/>
        <w:trPr/>
        <w:tc>
          <w:tcPr>
            <w:tcW w:w="1413" w:type="dxa"/>
            <w:textDirection w:val="lrTb"/>
            <w:noWrap w:val="false"/>
          </w:tcPr>
          <w:p>
            <w:pPr>
              <w:pStyle w:val="1073"/>
              <w:numPr>
                <w:ilvl w:val="0"/>
                <w:numId w:val="9"/>
              </w:numPr>
              <w:ind w:left="170" w:firstLine="0"/>
              <w:jc w:val="center"/>
            </w:pPr>
            <w:r/>
            <w:r/>
          </w:p>
        </w:tc>
        <w:tc>
          <w:tcPr>
            <w:tcW w:w="8505" w:type="dxa"/>
            <w:textDirection w:val="lrTb"/>
            <w:noWrap w:val="false"/>
          </w:tcPr>
          <w:p>
            <w:pPr>
              <w:pStyle w:val="1073"/>
            </w:pPr>
            <w:r>
              <w:t xml:space="preserve">Соответствие предлагаемой к поставке продукции </w:t>
            </w:r>
            <w:r>
              <w:t xml:space="preserve">иным</w:t>
            </w:r>
            <w:r>
              <w:t xml:space="preserve"> требованиям, </w:t>
            </w:r>
            <w:r>
              <w:t xml:space="preserve">установленным </w:t>
            </w:r>
            <w:r>
              <w:t xml:space="preserve">в </w:t>
            </w:r>
            <w:hyperlink w:tooltip="#Прил01_ТехТребования" w:anchor="Прил01_ТехТребования" w:history="1">
              <w:r>
                <w:rPr>
                  <w:rStyle w:val="1097"/>
                </w:rPr>
                <w:t xml:space="preserve">Технически</w:t>
              </w:r>
              <w:r>
                <w:rPr>
                  <w:rStyle w:val="1097"/>
                </w:rPr>
                <w:t xml:space="preserve">х</w:t>
              </w:r>
              <w:r>
                <w:rPr>
                  <w:rStyle w:val="1097"/>
                </w:rPr>
                <w:t xml:space="preserve"> требованиях (Приложение № 1)</w:t>
              </w:r>
            </w:hyperlink>
            <w:r>
              <w:t xml:space="preserve">, с</w:t>
            </w:r>
            <w:r>
              <w:t xml:space="preserve"> </w:t>
            </w:r>
            <w:r>
              <w:t xml:space="preserve">предоставлением требуемых</w:t>
            </w:r>
            <w:r>
              <w:t xml:space="preserve"> подтверждающих документов</w:t>
            </w:r>
            <w:r>
              <w:t xml:space="preserve"> / сведений</w:t>
            </w:r>
            <w:r/>
          </w:p>
          <w:p>
            <w:pPr>
              <w:pStyle w:val="1073"/>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073"/>
              <w:jc w:val="center"/>
            </w:pPr>
            <w:r/>
            <w:hyperlink w:tooltip="#Прил01_ТехТребования" w:anchor="Прил01_ТехТребования" w:history="1">
              <w:r>
                <w:rPr>
                  <w:rStyle w:val="1097"/>
                </w:rPr>
                <w:t xml:space="preserve">Приложение № 1</w:t>
              </w:r>
            </w:hyperlink>
            <w:r/>
            <w:r/>
          </w:p>
        </w:tc>
        <w:tc>
          <w:tcPr>
            <w:tcW w:w="2090" w:type="dxa"/>
            <w:textDirection w:val="lrTb"/>
            <w:noWrap w:val="false"/>
          </w:tcPr>
          <w:p>
            <w:pPr>
              <w:pStyle w:val="1073"/>
              <w:jc w:val="center"/>
            </w:pPr>
            <w:r>
              <w:t xml:space="preserve">Тех</w:t>
            </w:r>
            <w:r/>
          </w:p>
        </w:tc>
      </w:tr>
      <w:tr>
        <w:tblPrEx/>
        <w:trPr/>
        <w:tc>
          <w:tcPr>
            <w:gridSpan w:val="2"/>
            <w:tcW w:w="9918" w:type="dxa"/>
            <w:textDirection w:val="lrTb"/>
            <w:noWrap w:val="false"/>
          </w:tcPr>
          <w:p>
            <w:pPr>
              <w:pStyle w:val="1073"/>
              <w:keepNext/>
            </w:pPr>
            <w:r>
              <w:rPr>
                <w:b/>
                <w:bCs/>
              </w:rPr>
              <w:t xml:space="preserve">Соответствие </w:t>
            </w:r>
            <w:r>
              <w:rPr>
                <w:b/>
                <w:bCs/>
              </w:rPr>
              <w:t xml:space="preserve">Коммерческого предложения Участника</w:t>
            </w:r>
            <w:r>
              <w:rPr>
                <w:b/>
                <w:bCs/>
              </w:rPr>
              <w:t xml:space="preserve"> требованиям Документации о закупке, в том числе:</w:t>
            </w:r>
            <w:r/>
          </w:p>
        </w:tc>
        <w:tc>
          <w:tcPr>
            <w:tcW w:w="3118" w:type="dxa"/>
            <w:textDirection w:val="lrTb"/>
            <w:noWrap w:val="false"/>
          </w:tcPr>
          <w:p>
            <w:pPr>
              <w:pStyle w:val="1073"/>
              <w:jc w:val="center"/>
            </w:pPr>
            <w:r>
              <w:rPr>
                <w:b/>
                <w:bCs/>
              </w:rPr>
              <w:t xml:space="preserve">–</w:t>
            </w:r>
            <w:r/>
          </w:p>
        </w:tc>
        <w:tc>
          <w:tcPr>
            <w:tcW w:w="2090" w:type="dxa"/>
            <w:textDirection w:val="lrTb"/>
            <w:noWrap w:val="false"/>
          </w:tcPr>
          <w:p>
            <w:pPr>
              <w:pStyle w:val="1073"/>
              <w:jc w:val="center"/>
            </w:pPr>
            <w:r>
              <w:rPr>
                <w:b/>
                <w:bCs/>
              </w:rPr>
              <w:t xml:space="preserve">–</w:t>
            </w:r>
            <w:r/>
          </w:p>
        </w:tc>
      </w:tr>
      <w:tr>
        <w:tblPrEx/>
        <w:trPr/>
        <w:tc>
          <w:tcPr>
            <w:tcW w:w="1413" w:type="dxa"/>
            <w:textDirection w:val="lrTb"/>
            <w:noWrap w:val="false"/>
          </w:tcPr>
          <w:p>
            <w:pPr>
              <w:pStyle w:val="1073"/>
              <w:numPr>
                <w:ilvl w:val="0"/>
                <w:numId w:val="9"/>
              </w:numPr>
              <w:ind w:left="170" w:firstLine="0"/>
              <w:jc w:val="center"/>
            </w:pPr>
            <w:r/>
            <w:r/>
          </w:p>
        </w:tc>
        <w:tc>
          <w:tcPr>
            <w:tcW w:w="8505" w:type="dxa"/>
            <w:textDirection w:val="lrTb"/>
            <w:noWrap w:val="false"/>
          </w:tcPr>
          <w:p>
            <w:pPr>
              <w:pStyle w:val="1073"/>
            </w:pPr>
            <w:r>
              <w:t xml:space="preserve">Соответствие Коммерческого предложения</w:t>
            </w:r>
            <w:r>
              <w:t xml:space="preserve"> (</w:t>
            </w:r>
            <w:r>
              <w:t xml:space="preserve">проверка наличия в составе заявки всех необходимых документов, оценка правильности их оформления</w:t>
            </w:r>
            <w:r>
              <w:t xml:space="preserve">;</w:t>
            </w:r>
            <w:r>
              <w:t xml:space="preserve"> проверка отсутствия противоречий</w:t>
            </w:r>
            <w:r>
              <w:t xml:space="preserve"> в </w:t>
            </w:r>
            <w:r>
              <w:t xml:space="preserve">представленных в составе Коммерческого предложения (и приложениях к нему) документах</w:t>
            </w:r>
            <w:r>
              <w:t xml:space="preserve">).</w:t>
            </w:r>
            <w:r/>
          </w:p>
        </w:tc>
        <w:tc>
          <w:tcPr>
            <w:tcW w:w="3118" w:type="dxa"/>
            <w:textDirection w:val="lrTb"/>
            <w:noWrap w:val="false"/>
          </w:tcPr>
          <w:p>
            <w:pPr>
              <w:pStyle w:val="1073"/>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w:t>
            </w:r>
            <w:r>
              <w:t xml:space="preserve"> </w:t>
            </w:r>
            <w:r>
              <w:fldChar w:fldCharType="begin"/>
            </w:r>
            <w:r>
              <w:instrText xml:space="preserve"> REF _Ref135749133 \r \h </w:instrText>
            </w:r>
            <w:r>
              <w:fldChar w:fldCharType="separate"/>
            </w:r>
            <w:r>
              <w:t xml:space="preserve">4.9</w:t>
            </w:r>
            <w:r>
              <w:fldChar w:fldCharType="end"/>
            </w:r>
            <w:r/>
          </w:p>
          <w:p>
            <w:pPr>
              <w:pStyle w:val="1073"/>
              <w:jc w:val="center"/>
            </w:pPr>
            <w:r>
              <w:t xml:space="preserve">Приложение №1,</w:t>
            </w:r>
            <w:r>
              <w:br/>
            </w:r>
            <w:hyperlink w:tooltip="#Прил04_ФормыЗаявки" w:anchor="Прил04_ФормыЗаявки" w:history="1">
              <w:r>
                <w:rPr>
                  <w:rStyle w:val="1097"/>
                </w:rPr>
                <w:t xml:space="preserve">Приложение № 4</w:t>
              </w:r>
            </w:hyperlink>
            <w:r/>
            <w:r/>
          </w:p>
        </w:tc>
        <w:tc>
          <w:tcPr>
            <w:tcW w:w="2090" w:type="dxa"/>
            <w:textDirection w:val="lrTb"/>
            <w:noWrap w:val="false"/>
          </w:tcPr>
          <w:p>
            <w:pPr>
              <w:pStyle w:val="1073"/>
              <w:jc w:val="center"/>
            </w:pPr>
            <w:r>
              <w:t xml:space="preserve">Цена</w:t>
            </w:r>
            <w:r/>
          </w:p>
        </w:tc>
      </w:tr>
      <w:tr>
        <w:tblPrEx/>
        <w:trPr/>
        <w:tc>
          <w:tcPr>
            <w:tcW w:w="1413" w:type="dxa"/>
            <w:textDirection w:val="lrTb"/>
            <w:noWrap w:val="false"/>
          </w:tcPr>
          <w:p>
            <w:pPr>
              <w:pStyle w:val="1073"/>
              <w:numPr>
                <w:ilvl w:val="0"/>
                <w:numId w:val="9"/>
              </w:numPr>
              <w:ind w:left="170" w:firstLine="0"/>
              <w:jc w:val="center"/>
            </w:pPr>
            <w:r/>
            <w:r/>
          </w:p>
        </w:tc>
        <w:tc>
          <w:tcPr>
            <w:tcW w:w="8505" w:type="dxa"/>
            <w:textDirection w:val="lrTb"/>
            <w:noWrap w:val="false"/>
          </w:tcPr>
          <w:p>
            <w:pPr>
              <w:pStyle w:val="1073"/>
            </w:pPr>
            <w:r>
              <w:t xml:space="preserve">Соответствие предложения установленным </w:t>
            </w:r>
            <w:r>
              <w:t xml:space="preserve">законодательством </w:t>
            </w:r>
            <w:r>
              <w:t xml:space="preserve">требованиям к предоставлению национального режима, в том числе в части указания сведений, которые подтверждают страну происхождения товара в составе заявке в форме Коммерческого предложения (</w:t>
            </w:r>
            <w:hyperlink w:tooltip="#Прил04_ФормыЗаявки" w:anchor="Прил04_ФормыЗаявки" w:history="1">
              <w:r>
                <w:rPr>
                  <w:rStyle w:val="1097"/>
                </w:rPr>
                <w:t xml:space="preserve">Приложение № 4</w:t>
              </w:r>
            </w:hyperlink>
            <w:r>
              <w:t xml:space="preserve">)</w:t>
            </w:r>
            <w:r/>
          </w:p>
          <w:p>
            <w:pPr>
              <w:pStyle w:val="1073"/>
            </w:pPr>
            <w:r>
              <w:rPr>
                <w:i/>
                <w:iCs/>
              </w:rPr>
              <w:t xml:space="preserve">(пункт применяется только в случае установления режима запрета</w:t>
            </w:r>
            <w:r>
              <w:rPr>
                <w:i/>
                <w:iCs/>
              </w:rPr>
              <w:t xml:space="preserve"> или ограничения</w:t>
            </w:r>
            <w:r>
              <w:rPr>
                <w:i/>
                <w:iCs/>
              </w:rPr>
              <w:t xml:space="preserve"> закупки иностранной продукции</w:t>
            </w:r>
            <w:r>
              <w:rPr>
                <w:i/>
                <w:iCs/>
              </w:rPr>
              <w:t xml:space="preserve">, а также при исполнении Заказчиком норм в части минимальной обязательной доли закупок товаров российского происхождения</w:t>
            </w:r>
            <w:r>
              <w:rPr>
                <w:i/>
                <w:iCs/>
              </w:rPr>
              <w:t xml:space="preserve"> (подраздел </w:t>
            </w:r>
            <w:r>
              <w:rPr>
                <w:i/>
                <w:iCs/>
              </w:rPr>
              <w:fldChar w:fldCharType="begin"/>
            </w:r>
            <w:r>
              <w:rPr>
                <w:i/>
                <w:iCs/>
              </w:rPr>
              <w:instrText xml:space="preserve"> REF _Ref186221375 \r \h </w:instrText>
            </w:r>
            <w:r>
              <w:rPr>
                <w:i/>
                <w:iCs/>
              </w:rPr>
              <w:instrText xml:space="preserve"> \* MERGEFORMAT </w:instrText>
            </w:r>
            <w:r>
              <w:rPr>
                <w:i/>
                <w:iCs/>
              </w:rPr>
              <w:fldChar w:fldCharType="separate"/>
            </w:r>
            <w:r>
              <w:rPr>
                <w:i/>
                <w:iCs/>
              </w:rPr>
              <w:t xml:space="preserve">4.12</w:t>
            </w:r>
            <w:r>
              <w:rPr>
                <w:i/>
                <w:iCs/>
              </w:rPr>
              <w:fldChar w:fldCharType="end"/>
            </w:r>
            <w:r>
              <w:rPr>
                <w:i/>
                <w:iCs/>
              </w:rPr>
              <w:t xml:space="preserve">))</w:t>
            </w:r>
            <w:r/>
          </w:p>
        </w:tc>
        <w:tc>
          <w:tcPr>
            <w:tcW w:w="3118" w:type="dxa"/>
            <w:textDirection w:val="lrTb"/>
            <w:noWrap w:val="false"/>
          </w:tcPr>
          <w:p>
            <w:pPr>
              <w:pStyle w:val="1073"/>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_Ref186221375 \r \h </w:instrText>
            </w:r>
            <w:r>
              <w:fldChar w:fldCharType="separate"/>
            </w:r>
            <w:r>
              <w:t xml:space="preserve">4.12</w:t>
            </w:r>
            <w:r>
              <w:fldChar w:fldCharType="end"/>
            </w:r>
            <w:r>
              <w:br/>
            </w:r>
            <w:hyperlink w:tooltip="#Прил04_ФормыЗаявки" w:anchor="Прил04_ФормыЗаявки" w:history="1">
              <w:r>
                <w:rPr>
                  <w:rStyle w:val="1097"/>
                </w:rPr>
                <w:t xml:space="preserve">Приложение № 4</w:t>
              </w:r>
            </w:hyperlink>
            <w:r>
              <w:br/>
              <w:t xml:space="preserve">(форма Коммерческого предложения)</w:t>
            </w:r>
            <w:r/>
          </w:p>
        </w:tc>
        <w:tc>
          <w:tcPr>
            <w:tcW w:w="2090" w:type="dxa"/>
            <w:textDirection w:val="lrTb"/>
            <w:noWrap w:val="false"/>
          </w:tcPr>
          <w:p>
            <w:pPr>
              <w:pStyle w:val="1073"/>
              <w:jc w:val="center"/>
            </w:pPr>
            <w:r>
              <w:t xml:space="preserve">Тех</w:t>
            </w:r>
            <w:r/>
          </w:p>
        </w:tc>
      </w:tr>
      <w:tr>
        <w:tblPrEx/>
        <w:trPr/>
        <w:tc>
          <w:tcPr>
            <w:tcW w:w="1413" w:type="dxa"/>
            <w:textDirection w:val="lrTb"/>
            <w:noWrap w:val="false"/>
          </w:tcPr>
          <w:p>
            <w:pPr>
              <w:pStyle w:val="1073"/>
              <w:numPr>
                <w:ilvl w:val="0"/>
                <w:numId w:val="9"/>
              </w:numPr>
              <w:ind w:left="170" w:firstLine="0"/>
              <w:jc w:val="center"/>
            </w:pPr>
            <w:r/>
            <w:r/>
          </w:p>
        </w:tc>
        <w:tc>
          <w:tcPr>
            <w:tcW w:w="8505" w:type="dxa"/>
            <w:textDirection w:val="lrTb"/>
            <w:noWrap w:val="false"/>
          </w:tcPr>
          <w:p>
            <w:pPr>
              <w:pStyle w:val="1073"/>
            </w:pPr>
            <w:r>
              <w:t xml:space="preserve">Соответствие</w:t>
            </w:r>
            <w:r>
              <w:t xml:space="preserve"> </w:t>
            </w:r>
            <w:r>
              <w:t xml:space="preserve">подтверждающей документации, прилагаемой к</w:t>
            </w:r>
            <w:r>
              <w:rPr>
                <w:lang w:val="en-US"/>
              </w:rPr>
              <w:t xml:space="preserve"> </w:t>
            </w:r>
            <w:r>
              <w:t xml:space="preserve">Коммерческому приложению, требованиям,</w:t>
            </w:r>
            <w:r>
              <w:t xml:space="preserve"> указанным в</w:t>
            </w:r>
            <w:r>
              <w:t xml:space="preserve"> </w:t>
            </w:r>
            <w:hyperlink w:tooltip="#Прил01_ТехТребования" w:anchor="Прил01_ТехТребования" w:history="1">
              <w:r>
                <w:rPr>
                  <w:rStyle w:val="1097"/>
                </w:rPr>
                <w:t xml:space="preserve">Технически</w:t>
              </w:r>
              <w:r>
                <w:rPr>
                  <w:rStyle w:val="1097"/>
                </w:rPr>
                <w:t xml:space="preserve">х</w:t>
              </w:r>
              <w:r>
                <w:rPr>
                  <w:rStyle w:val="1097"/>
                </w:rPr>
                <w:t xml:space="preserve"> требованиях (Приложение № 1)</w:t>
              </w:r>
            </w:hyperlink>
            <w:r/>
            <w:r/>
          </w:p>
          <w:p>
            <w:pPr>
              <w:pStyle w:val="1073"/>
            </w:pPr>
            <w:r>
              <w:rPr>
                <w:i/>
                <w:iCs/>
              </w:rPr>
              <w:t xml:space="preserve">(</w:t>
            </w:r>
            <w:r>
              <w:rPr>
                <w:i/>
                <w:iCs/>
              </w:rPr>
              <w:t xml:space="preserve">п</w:t>
            </w:r>
            <w:r>
              <w:rPr>
                <w:i/>
                <w:iCs/>
              </w:rPr>
              <w:t xml:space="preserve">ункт применяется только в случае установления соответствующих </w:t>
            </w:r>
            <w:r>
              <w:rPr>
                <w:i/>
                <w:iCs/>
              </w:rPr>
              <w:t xml:space="preserve">требований в </w:t>
            </w:r>
            <w:hyperlink w:tooltip="#Прил01_ТехТребования" w:anchor="Прил01_ТехТребования" w:history="1">
              <w:r>
                <w:rPr>
                  <w:rStyle w:val="1097"/>
                  <w:i/>
                  <w:iCs/>
                </w:rPr>
                <w:t xml:space="preserve">Технических требованиях (Приложение № 1)</w:t>
              </w:r>
            </w:hyperlink>
            <w:r>
              <w:rPr>
                <w:i/>
                <w:iCs/>
              </w:rPr>
              <w:t xml:space="preserve">)</w:t>
            </w:r>
            <w:r/>
          </w:p>
        </w:tc>
        <w:tc>
          <w:tcPr>
            <w:tcW w:w="3118" w:type="dxa"/>
            <w:textDirection w:val="lrTb"/>
            <w:noWrap w:val="false"/>
          </w:tcPr>
          <w:p>
            <w:pPr>
              <w:pStyle w:val="1073"/>
              <w:jc w:val="center"/>
            </w:pPr>
            <w:r/>
            <w:hyperlink w:tooltip="#Прил01_ТехТребования" w:anchor="Прил01_ТехТребования" w:history="1">
              <w:r>
                <w:rPr>
                  <w:rStyle w:val="1097"/>
                </w:rPr>
                <w:t xml:space="preserve">Приложение № 1</w:t>
              </w:r>
            </w:hyperlink>
            <w:r/>
            <w:r/>
          </w:p>
        </w:tc>
        <w:tc>
          <w:tcPr>
            <w:tcW w:w="2090" w:type="dxa"/>
            <w:textDirection w:val="lrTb"/>
            <w:noWrap w:val="false"/>
          </w:tcPr>
          <w:p>
            <w:pPr>
              <w:pStyle w:val="1073"/>
              <w:jc w:val="center"/>
            </w:pPr>
            <w:r>
              <w:t xml:space="preserve">Цена</w:t>
            </w:r>
            <w:r/>
          </w:p>
        </w:tc>
      </w:tr>
    </w:tbl>
    <w:p>
      <w:pPr>
        <w:pStyle w:val="1068"/>
        <w:rPr>
          <w:rStyle w:val="1078"/>
          <w:i w:val="0"/>
          <w:iCs w:val="0"/>
          <w:shd w:val="clear" w:color="auto" w:fill="auto"/>
        </w:rPr>
      </w:pPr>
      <w:r/>
      <w:bookmarkStart w:id="342" w:name="_Ref207821280"/>
      <w:r/>
      <w:bookmarkStart w:id="343" w:name="_Toc224744376"/>
      <w:r>
        <w:rPr>
          <w:rStyle w:val="1078"/>
          <w:i w:val="0"/>
          <w:iCs w:val="0"/>
          <w:shd w:val="clear" w:color="auto" w:fill="auto"/>
        </w:rPr>
        <w:t xml:space="preserve">Дополнительные</w:t>
      </w:r>
      <w:r>
        <w:rPr>
          <w:rStyle w:val="1078"/>
          <w:i w:val="0"/>
          <w:iCs w:val="0"/>
          <w:shd w:val="clear" w:color="auto" w:fill="auto"/>
        </w:rPr>
        <w:t xml:space="preserve"> критерии проверки заяв</w:t>
      </w:r>
      <w:r>
        <w:rPr>
          <w:rStyle w:val="1078"/>
          <w:i w:val="0"/>
          <w:iCs w:val="0"/>
          <w:shd w:val="clear" w:color="auto" w:fill="auto"/>
        </w:rPr>
        <w:t xml:space="preserve">ок</w:t>
      </w:r>
      <w:r>
        <w:rPr>
          <w:rStyle w:val="1078"/>
          <w:i w:val="0"/>
          <w:iCs w:val="0"/>
          <w:shd w:val="clear" w:color="auto" w:fill="auto"/>
        </w:rPr>
        <w:t xml:space="preserve"> на соответстви</w:t>
      </w:r>
      <w:r>
        <w:rPr>
          <w:rStyle w:val="1078"/>
          <w:i w:val="0"/>
          <w:iCs w:val="0"/>
          <w:shd w:val="clear" w:color="auto" w:fill="auto"/>
        </w:rPr>
        <w:t xml:space="preserve">е</w:t>
      </w:r>
      <w:r>
        <w:rPr>
          <w:rStyle w:val="1078"/>
          <w:i w:val="0"/>
          <w:iCs w:val="0"/>
          <w:shd w:val="clear" w:color="auto" w:fill="auto"/>
        </w:rPr>
        <w:t xml:space="preserve"> условиям Документации о закупке</w:t>
      </w:r>
      <w:bookmarkEnd w:id="342"/>
      <w:r/>
      <w:bookmarkEnd w:id="343"/>
      <w:r>
        <w:rPr>
          <w:rStyle w:val="1078"/>
          <w:i w:val="0"/>
          <w:iCs w:val="0"/>
          <w:shd w:val="clear" w:color="auto" w:fill="auto"/>
        </w:rPr>
      </w:r>
      <w:r>
        <w:rPr>
          <w:rStyle w:val="1078"/>
          <w:i w:val="0"/>
          <w:iCs w:val="0"/>
          <w:shd w:val="clear" w:color="auto" w:fill="auto"/>
        </w:rPr>
      </w:r>
    </w:p>
    <w:p>
      <w:pPr>
        <w:pStyle w:val="1073"/>
        <w:keepNext/>
        <w:spacing w:after="120"/>
      </w:pPr>
      <w:r>
        <w:t xml:space="preserve">Несоответстви</w:t>
      </w:r>
      <w:r>
        <w:t xml:space="preserve">е</w:t>
      </w:r>
      <w:r>
        <w:t xml:space="preserve"> </w:t>
      </w:r>
      <w:r>
        <w:t xml:space="preserve">одному или всем </w:t>
      </w:r>
      <w:r>
        <w:t xml:space="preserve">дополнительн</w:t>
      </w:r>
      <w:r>
        <w:t xml:space="preserve">ым</w:t>
      </w:r>
      <w:r>
        <w:t xml:space="preserve"> критери</w:t>
      </w:r>
      <w:r>
        <w:t xml:space="preserve">ям</w:t>
      </w:r>
      <w:r>
        <w:t xml:space="preserve"> </w:t>
      </w:r>
      <w:r>
        <w:t xml:space="preserve">не являет</w:t>
      </w:r>
      <w:r>
        <w:t xml:space="preserve">ся</w:t>
      </w:r>
      <w:r>
        <w:t xml:space="preserve"> основанием для </w:t>
      </w:r>
      <w:r>
        <w:t xml:space="preserve">отклонения</w:t>
      </w:r>
      <w:r>
        <w:t xml:space="preserve"> заявки.</w:t>
      </w:r>
      <w:r/>
    </w:p>
    <w:tbl>
      <w:tblPr>
        <w:tblStyle w:val="1094"/>
        <w:tblW w:w="0" w:type="auto"/>
        <w:tblLook w:val="04A0" w:firstRow="1" w:lastRow="0" w:firstColumn="1" w:lastColumn="0" w:noHBand="0" w:noVBand="1"/>
      </w:tblPr>
      <w:tblGrid>
        <w:gridCol w:w="1413"/>
        <w:gridCol w:w="8505"/>
        <w:gridCol w:w="3118"/>
        <w:gridCol w:w="2090"/>
      </w:tblGrid>
      <w:tr>
        <w:tblPrEx/>
        <w:trPr/>
        <w:tc>
          <w:tcPr>
            <w:tcW w:w="1413" w:type="dxa"/>
            <w:textDirection w:val="lrTb"/>
            <w:noWrap w:val="false"/>
          </w:tcPr>
          <w:p>
            <w:pPr>
              <w:pStyle w:val="1073"/>
              <w:jc w:val="center"/>
            </w:pPr>
            <w:r>
              <w:t xml:space="preserve">Номер</w:t>
            </w:r>
            <w:r>
              <w:br/>
              <w:t xml:space="preserve">критерия</w:t>
            </w:r>
            <w:r/>
          </w:p>
        </w:tc>
        <w:tc>
          <w:tcPr>
            <w:tcW w:w="8505" w:type="dxa"/>
            <w:textDirection w:val="lrTb"/>
            <w:noWrap w:val="false"/>
          </w:tcPr>
          <w:p>
            <w:pPr>
              <w:pStyle w:val="1073"/>
              <w:jc w:val="center"/>
            </w:pPr>
            <w:r>
              <w:t xml:space="preserve">Наименование</w:t>
            </w:r>
            <w:r>
              <w:br/>
            </w:r>
            <w:r>
              <w:t xml:space="preserve">критерия</w:t>
            </w:r>
            <w:r>
              <w:t xml:space="preserve"> проверки</w:t>
            </w:r>
            <w:r/>
          </w:p>
        </w:tc>
        <w:tc>
          <w:tcPr>
            <w:tcW w:w="3118" w:type="dxa"/>
            <w:textDirection w:val="lrTb"/>
            <w:noWrap w:val="false"/>
          </w:tcPr>
          <w:p>
            <w:pPr>
              <w:pStyle w:val="1073"/>
              <w:jc w:val="center"/>
            </w:pPr>
            <w:r>
              <w:t xml:space="preserve">Номер пункта</w:t>
            </w:r>
            <w:r>
              <w:br/>
            </w:r>
            <w:r>
              <w:t xml:space="preserve">Документации о закупке</w:t>
            </w:r>
            <w:r/>
          </w:p>
        </w:tc>
        <w:tc>
          <w:tcPr>
            <w:tcW w:w="2090" w:type="dxa"/>
            <w:textDirection w:val="lrTb"/>
            <w:noWrap w:val="false"/>
          </w:tcPr>
          <w:p>
            <w:pPr>
              <w:pStyle w:val="1073"/>
              <w:jc w:val="center"/>
            </w:pPr>
            <w:r>
              <w:t xml:space="preserve">Направления</w:t>
            </w:r>
            <w:r>
              <w:br/>
            </w:r>
            <w:r>
              <w:t xml:space="preserve">оценки заявок</w:t>
            </w:r>
            <w:r>
              <w:t xml:space="preserve">*</w:t>
            </w:r>
            <w:r/>
          </w:p>
        </w:tc>
      </w:tr>
    </w:tbl>
    <w:p>
      <w:pPr>
        <w:pStyle w:val="1073"/>
        <w:keepNext/>
        <w:spacing w:before="240"/>
        <w:tabs>
          <w:tab w:val="left" w:pos="851" w:leader="none"/>
        </w:tabs>
        <w:rPr>
          <w:b/>
          <w:bCs/>
        </w:rPr>
      </w:pPr>
      <w:r>
        <w:rPr>
          <w:b/>
          <w:bCs/>
        </w:rPr>
        <w:t xml:space="preserve">* </w:t>
      </w:r>
      <w:r>
        <w:rPr>
          <w:b/>
          <w:bCs/>
        </w:rPr>
        <w:t xml:space="preserve">Направления оценки заявок:</w:t>
      </w:r>
      <w:r>
        <w:rPr>
          <w:b/>
          <w:bCs/>
        </w:rPr>
      </w:r>
      <w:r>
        <w:rPr>
          <w:b/>
          <w:bCs/>
        </w:rPr>
      </w:r>
    </w:p>
    <w:p>
      <w:pPr>
        <w:pStyle w:val="1073"/>
        <w:ind w:left="1701" w:hanging="1701"/>
        <w:tabs>
          <w:tab w:val="left" w:pos="1134" w:leader="none"/>
        </w:tabs>
      </w:pPr>
      <w:r>
        <w:rPr>
          <w:b/>
          <w:bCs/>
        </w:rPr>
        <w:t xml:space="preserve">Орг</w:t>
      </w:r>
      <w:r>
        <w:tab/>
        <w:t xml:space="preserve">–</w:t>
      </w:r>
      <w:r>
        <w:tab/>
      </w:r>
      <w:r>
        <w:t xml:space="preserve">проверка наличия в составе заявки необходим</w:t>
      </w:r>
      <w:r>
        <w:t xml:space="preserve">ых документов для рассмотрения экспертом по своему направлению: проверка наличия в составе заявке и оценка правильности оформления Письма о подаче оферты; наличия обеспечения обязательств Участника, связанного с подачей заявки, в виде независимой гарантии </w:t>
      </w:r>
      <w:r>
        <w:t xml:space="preserve">(в том числе наличие сведений о ней в соответствующем реестре в ЕИС)</w:t>
      </w:r>
      <w:r>
        <w:t xml:space="preserve"> </w:t>
      </w:r>
      <w:r>
        <w:t xml:space="preserve">– в случае отсутствия внесенных Участником денежных средств на специальный банковский счет </w:t>
      </w:r>
      <w:r>
        <w:rPr>
          <w:i/>
          <w:iCs/>
        </w:rPr>
        <w:t xml:space="preserve">(последние применяется только в случае установления соответствующих требований)</w:t>
      </w:r>
      <w:r>
        <w:t xml:space="preserve">; наличие у</w:t>
      </w:r>
      <w:r>
        <w:t xml:space="preserve"> </w:t>
      </w:r>
      <w:r>
        <w:t xml:space="preserve">Участника статуса «аккредитован», либо статуса «аккредитация не</w:t>
      </w:r>
      <w:r>
        <w:t xml:space="preserve"> </w:t>
      </w:r>
      <w:r>
        <w:t xml:space="preserve">требуется» (или наличие заявки на аккредитацию (при необходимости))</w:t>
      </w:r>
      <w:r>
        <w:t xml:space="preserve">, участвует в процедуре актуализации статуса аккредитации (при необходимости)</w:t>
      </w:r>
      <w:r>
        <w:t xml:space="preserve">; проверка 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t xml:space="preserve"> </w:t>
      </w:r>
      <w:r>
        <w:t xml:space="preserve">851; проверка наличия информации об</w:t>
      </w:r>
      <w:r>
        <w:t xml:space="preserve"> </w:t>
      </w:r>
      <w:r>
        <w:t xml:space="preserve">Участнике в Реестре МСП (https://rmsp.nalog.ru/index.html), а</w:t>
      </w:r>
      <w:r>
        <w:t xml:space="preserve"> </w:t>
      </w:r>
      <w:r>
        <w:t xml:space="preserve">в</w:t>
      </w:r>
      <w:r>
        <w:t xml:space="preserve"> </w:t>
      </w:r>
      <w:r>
        <w:t xml:space="preserve">отношении физических лиц, не являющихся индивидуальными предпринимателями и применяющих специальный налоговый режим «Налог на</w:t>
      </w:r>
      <w:r>
        <w:rPr>
          <w:lang w:val="en-US"/>
        </w:rPr>
        <w:t xml:space="preserve"> </w:t>
      </w:r>
      <w:r>
        <w:t xml:space="preserve">профессиональный доход» – наличие информации на официальном сайте федерального органа исполнительной власти, уполномоченного по</w:t>
      </w:r>
      <w:r>
        <w:t xml:space="preserve"> </w:t>
      </w:r>
      <w:r>
        <w:t xml:space="preserve">контролю и надзору в области налогов и сборов, о применении ими такого налогового режима (https://npd.nalog.ru/check-status/);</w:t>
      </w:r>
      <w:r/>
    </w:p>
    <w:p>
      <w:pPr>
        <w:pStyle w:val="1073"/>
        <w:ind w:left="1701" w:hanging="1701"/>
        <w:tabs>
          <w:tab w:val="left" w:pos="1134" w:leader="none"/>
        </w:tabs>
      </w:pPr>
      <w:r>
        <w:rPr>
          <w:b/>
          <w:bCs/>
        </w:rPr>
        <w:t xml:space="preserve">Тех</w:t>
      </w:r>
      <w:r>
        <w:tab/>
        <w:t xml:space="preserve">–</w:t>
      </w:r>
      <w:r>
        <w:tab/>
      </w:r>
      <w:r>
        <w:t xml:space="preserve">проверка наличия в составе заявки всех необходимых документов для рассмотрения экспертом по своему направлению, а также правильности их оформления; </w:t>
      </w:r>
      <w:bookmarkStart w:id="346" w:name="_Hlk207818776"/>
      <w:r>
        <w:t xml:space="preserve">в целях применения законодательства о национальном режиме: а)</w:t>
      </w:r>
      <w:r>
        <w:t xml:space="preserve"> </w:t>
      </w:r>
      <w:r>
        <w:t xml:space="preserve">при закупке товаров (в том числе поставляемых при выполнении работ, оказании услуг) – оценка сведений о стране происхождения предлагаемого к поставке товара; б)</w:t>
      </w:r>
      <w:r>
        <w:t xml:space="preserve"> </w:t>
      </w:r>
      <w:r>
        <w:t xml:space="preserve">при закупке работ, услуг – оценка сведений о стране регистрации Участника (стране регистрации лица, согласно заявке выполняющего работу, оказывающего услугу)</w:t>
      </w:r>
      <w:bookmarkEnd w:id="346"/>
      <w:r>
        <w:t xml:space="preserve">; </w:t>
      </w:r>
      <w:r>
        <w:t xml:space="preserve">оценка Технических предложений и сведений, подтвержд</w:t>
      </w:r>
      <w:r>
        <w:t xml:space="preserve">ающих соответствия Участника специальным требованиям Документации о закупке; проверка технической части подтверждающей документации, прилагаемой к Коммерческому предложению (при наличии), а также, при необходимости, технических условий исполнения Договора;</w:t>
      </w:r>
      <w:r/>
    </w:p>
    <w:p>
      <w:pPr>
        <w:pStyle w:val="1073"/>
        <w:ind w:left="1701" w:hanging="1701"/>
        <w:tabs>
          <w:tab w:val="left" w:pos="1134" w:leader="none"/>
        </w:tabs>
      </w:pPr>
      <w:r>
        <w:rPr>
          <w:b/>
          <w:bCs/>
        </w:rPr>
        <w:t xml:space="preserve">Юр</w:t>
      </w:r>
      <w:r>
        <w:tab/>
        <w:t xml:space="preserve">–</w:t>
      </w:r>
      <w:r>
        <w:tab/>
      </w:r>
      <w:r>
        <w:t xml:space="preserve">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w:t>
      </w:r>
      <w:r>
        <w:t xml:space="preserve">,</w:t>
      </w:r>
      <w:r>
        <w:t xml:space="preserve"> формы заверения, языка заявки); оценка юридических аспектов заявки, в том числе оценка правомочности подписанта доверенности (при</w:t>
      </w:r>
      <w:r>
        <w:t xml:space="preserve"> </w:t>
      </w:r>
      <w:r>
        <w:t xml:space="preserve">необходимости) на основании выписки из ЕГРЮЛ (выписка из ЕГРЮЛ доступна на официальном сервисе ФНС России https://egrul.nalog.ru/index.html)</w:t>
      </w:r>
      <w:r>
        <w:t xml:space="preserve">;</w:t>
      </w:r>
      <w:r/>
    </w:p>
    <w:p>
      <w:pPr>
        <w:pStyle w:val="1073"/>
        <w:ind w:left="1701" w:hanging="1701"/>
        <w:keepNext/>
        <w:tabs>
          <w:tab w:val="left" w:pos="1134" w:leader="none"/>
        </w:tabs>
      </w:pPr>
      <w:r>
        <w:rPr>
          <w:b/>
          <w:bCs/>
        </w:rPr>
        <w:t xml:space="preserve">Цена</w:t>
      </w:r>
      <w:r>
        <w:tab/>
        <w:t xml:space="preserve">–</w:t>
      </w:r>
      <w:r>
        <w:tab/>
      </w:r>
      <w:r>
        <w:t xml:space="preserve">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языка и валюты заявки); </w:t>
      </w:r>
      <w:r>
        <w:t xml:space="preserve">проверка отсутствия противоречий </w:t>
      </w:r>
      <w:r>
        <w:t xml:space="preserve">в </w:t>
      </w:r>
      <w:r>
        <w:t xml:space="preserve">представленных в составе Коммерческого предложения (и приложениях к нему) документах</w:t>
      </w:r>
      <w:r>
        <w:t xml:space="preserve">; проверка соответствия подтверж</w:t>
      </w:r>
      <w:r>
        <w:t xml:space="preserve">дающей документации (сметная документация и т.п.), прилагаемой к Коммерческому приложению, требованиям, указанным в Технических требованиях (при наличии такой документации и если ее предоставление требовалось в Документации о закупке), в том числе в части </w:t>
      </w:r>
      <w:r>
        <w:t xml:space="preserve"> </w:t>
      </w:r>
      <w:r>
        <w:t xml:space="preserve"> </w:t>
      </w:r>
      <w:r>
        <w:t xml:space="preserve">непревышения ценового предложения участника установленного размера НМЦ</w:t>
      </w:r>
      <w:r>
        <w:t xml:space="preserve">.</w:t>
      </w:r>
      <w:r/>
    </w:p>
    <w:p>
      <w:pPr>
        <w:pStyle w:val="1073"/>
        <w:ind w:left="1701" w:hanging="1701"/>
        <w:keepNext/>
        <w:tabs>
          <w:tab w:val="left" w:pos="1134" w:leader="none"/>
        </w:tabs>
      </w:pPr>
      <w:r>
        <w:rPr>
          <w:b/>
          <w:bCs/>
        </w:rPr>
        <w:t xml:space="preserve">Фин</w:t>
      </w:r>
      <w:r>
        <w:tab/>
        <w:t xml:space="preserve">–</w:t>
      </w:r>
      <w:r>
        <w:tab/>
      </w:r>
      <w:r>
        <w:t xml:space="preserve">оценка независимой гарантии, в том числе правильность оформления рассматриваемых документов (в т.ч. в части наличия должных печатей, подписей</w:t>
      </w:r>
      <w:r>
        <w:t xml:space="preserve">,</w:t>
      </w:r>
      <w:r>
        <w:t xml:space="preserve"> формы заверения, языка и валюты заявки) </w:t>
      </w:r>
      <w:r>
        <w:rPr>
          <w:i/>
          <w:iCs/>
        </w:rPr>
        <w:t xml:space="preserve">(финансовая экспертиза проводится по</w:t>
      </w:r>
      <w:r>
        <w:rPr>
          <w:i/>
          <w:iCs/>
        </w:rPr>
        <w:t xml:space="preserve"> </w:t>
      </w:r>
      <w:r>
        <w:rPr>
          <w:i/>
          <w:iCs/>
        </w:rPr>
        <w:t xml:space="preserve">инициативе эксперта по направлениям Орг, в случае наличия в заявке независимой гарантии)</w:t>
      </w:r>
      <w:r>
        <w:t xml:space="preserve">.</w:t>
      </w:r>
      <w:r/>
    </w:p>
    <w:p>
      <w:pPr>
        <w:pStyle w:val="1073"/>
      </w:pPr>
      <w:r>
        <w:t xml:space="preserve">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w:t>
      </w:r>
      <w:r>
        <w:t xml:space="preserve">материалов (документов)</w:t>
      </w:r>
      <w:r>
        <w:t xml:space="preserve">, являющихся предметом его экспертизы)</w:t>
      </w:r>
      <w:r>
        <w:t xml:space="preserve">.</w:t>
      </w:r>
      <w:r/>
    </w:p>
    <w:p>
      <w:pPr>
        <w:pStyle w:val="1073"/>
        <w:sectPr>
          <w:footnotePr/>
          <w:endnotePr/>
          <w:type w:val="nextPage"/>
          <w:pgSz w:w="16838" w:h="11906" w:orient="landscape"/>
          <w:pgMar w:top="1134" w:right="851" w:bottom="850" w:left="851" w:header="567" w:footer="567" w:gutter="0"/>
          <w:cols w:num="1" w:sep="0" w:space="708" w:equalWidth="1"/>
          <w:docGrid w:linePitch="360"/>
        </w:sectPr>
      </w:pPr>
      <w:r/>
      <w:r/>
    </w:p>
    <w:p>
      <w:pPr>
        <w:pStyle w:val="1067"/>
      </w:pPr>
      <w:r/>
      <w:bookmarkStart w:id="347" w:name="Прил08_ПорядокОценки"/>
      <w:r/>
      <w:bookmarkStart w:id="348" w:name="_Ref125361648"/>
      <w:r/>
      <w:bookmarkStart w:id="349" w:name="_Ref125361951"/>
      <w:r/>
      <w:bookmarkStart w:id="350" w:name="_Ref125366013"/>
      <w:r/>
      <w:bookmarkStart w:id="351" w:name="_Ref125366280"/>
      <w:r/>
      <w:bookmarkStart w:id="352" w:name="_Ref125366285"/>
      <w:r/>
      <w:bookmarkStart w:id="353" w:name="_Ref125368140"/>
      <w:r/>
      <w:bookmarkStart w:id="354" w:name="_Ref125368150"/>
      <w:r/>
      <w:bookmarkStart w:id="355" w:name="_Ref125368165"/>
      <w:r/>
      <w:bookmarkStart w:id="356" w:name="_Ref125368172"/>
      <w:r/>
      <w:bookmarkStart w:id="357" w:name="_Ref125368184"/>
      <w:r/>
      <w:bookmarkStart w:id="358" w:name="_Ref125368283"/>
      <w:r/>
      <w:bookmarkStart w:id="359" w:name="_Ref125368291"/>
      <w:r/>
      <w:bookmarkStart w:id="360" w:name="_Ref125368302"/>
      <w:r/>
      <w:bookmarkStart w:id="361" w:name="_Ref125368313"/>
      <w:r/>
      <w:bookmarkStart w:id="362" w:name="_Ref125368331"/>
      <w:r/>
      <w:bookmarkStart w:id="363" w:name="_Ref125369021"/>
      <w:r/>
      <w:bookmarkStart w:id="364" w:name="_Ref125369438"/>
      <w:r/>
      <w:bookmarkStart w:id="365" w:name="_Toc224744377"/>
      <w:r/>
      <w:bookmarkEnd w:id="347"/>
      <w:r>
        <w:t xml:space="preserve">Приложение №</w:t>
      </w:r>
      <w:r>
        <w:t xml:space="preserve"> </w:t>
      </w:r>
      <w:r>
        <w:t xml:space="preserve">8</w:t>
      </w:r>
      <w:r>
        <w:t xml:space="preserve"> – Порядок и критерии оценки и сопоставления заявок</w:t>
      </w:r>
      <w:bookmarkEnd w:id="348"/>
      <w:r/>
      <w:bookmarkEnd w:id="349"/>
      <w:r/>
      <w:bookmarkEnd w:id="350"/>
      <w:r/>
      <w:bookmarkEnd w:id="351"/>
      <w:r/>
      <w:bookmarkEnd w:id="352"/>
      <w:r/>
      <w:bookmarkEnd w:id="353"/>
      <w:r/>
      <w:bookmarkEnd w:id="354"/>
      <w:r/>
      <w:bookmarkEnd w:id="355"/>
      <w:r/>
      <w:bookmarkEnd w:id="356"/>
      <w:r/>
      <w:bookmarkEnd w:id="357"/>
      <w:r/>
      <w:bookmarkEnd w:id="358"/>
      <w:r/>
      <w:bookmarkEnd w:id="359"/>
      <w:r/>
      <w:bookmarkEnd w:id="360"/>
      <w:r/>
      <w:bookmarkEnd w:id="361"/>
      <w:r/>
      <w:bookmarkEnd w:id="362"/>
      <w:r/>
      <w:bookmarkEnd w:id="363"/>
      <w:r/>
      <w:bookmarkEnd w:id="364"/>
      <w:r/>
      <w:bookmarkEnd w:id="365"/>
      <w:r/>
      <w:r/>
    </w:p>
    <w:p>
      <w:pPr>
        <w:pStyle w:val="1068"/>
      </w:pPr>
      <w:r/>
      <w:bookmarkStart w:id="366" w:name="_Toc224744378"/>
      <w:r>
        <w:t xml:space="preserve">Порядок и критерии оценки и сопоставления заявок</w:t>
      </w:r>
      <w:bookmarkEnd w:id="366"/>
      <w:r/>
      <w:r/>
    </w:p>
    <w:p>
      <w:pPr>
        <w:pStyle w:val="1069"/>
      </w:pPr>
      <w:r>
        <w:t xml:space="preserve">Оценка и сопоставление заявок, признанных Закупочной комиссией соответствующими по результатам рассмотрения заявок, осуществляется </w:t>
      </w:r>
      <w:r>
        <w:t xml:space="preserve">по</w:t>
      </w:r>
      <w:r>
        <w:t xml:space="preserve"> </w:t>
      </w:r>
      <w:r>
        <w:t xml:space="preserve">единственн</w:t>
      </w:r>
      <w:r>
        <w:t xml:space="preserve">ому</w:t>
      </w:r>
      <w:r>
        <w:t xml:space="preserve"> </w:t>
      </w:r>
      <w:r>
        <w:t xml:space="preserve">ценов</w:t>
      </w:r>
      <w:r>
        <w:t xml:space="preserve">ому</w:t>
      </w:r>
      <w:r>
        <w:t xml:space="preserve"> </w:t>
      </w:r>
      <w:r>
        <w:t xml:space="preserve">критери</w:t>
      </w:r>
      <w:r>
        <w:t xml:space="preserve">ю </w:t>
      </w:r>
      <w:r>
        <w:t xml:space="preserve">– </w:t>
      </w:r>
      <w:r>
        <w:t xml:space="preserve">стоимость заявки (</w:t>
      </w:r>
      <w:r>
        <w:t xml:space="preserve">цена </w:t>
      </w:r>
      <w:r>
        <w:t xml:space="preserve">Д</w:t>
      </w:r>
      <w:r>
        <w:t xml:space="preserve">оговора) в</w:t>
      </w:r>
      <w:r>
        <w:t xml:space="preserve"> </w:t>
      </w:r>
      <w:r>
        <w:t xml:space="preserve">едином базисе без учета НДС, с</w:t>
      </w:r>
      <w:r>
        <w:t xml:space="preserve"> </w:t>
      </w:r>
      <w:r>
        <w:t xml:space="preserve">последующ</w:t>
      </w:r>
      <w:r>
        <w:t xml:space="preserve">ей </w:t>
      </w:r>
      <w:r>
        <w:t xml:space="preserve">ранжировк</w:t>
      </w:r>
      <w:r>
        <w:t xml:space="preserve">ой</w:t>
      </w:r>
      <w:r>
        <w:t xml:space="preserve"> заявок по мере повышения </w:t>
      </w:r>
      <w:r>
        <w:t xml:space="preserve">стоимости </w:t>
      </w:r>
      <w:r>
        <w:t xml:space="preserve">заявки</w:t>
      </w:r>
      <w:r>
        <w:t xml:space="preserve"> (цены Договора)</w:t>
      </w:r>
      <w:r>
        <w:t xml:space="preserve">. При этом первое место в</w:t>
      </w:r>
      <w:r>
        <w:t xml:space="preserve"> </w:t>
      </w:r>
      <w:r>
        <w:t xml:space="preserve">ранжировке присваивается заявке с наименьшей ценой (расчетной ценой)</w:t>
      </w:r>
      <w:r>
        <w:t xml:space="preserve">.</w:t>
      </w:r>
      <w:r/>
    </w:p>
    <w:p>
      <w:pPr>
        <w:pStyle w:val="1069"/>
      </w:pPr>
      <w:r>
        <w:t xml:space="preserve">В установленных случаях оценка и сопоставление заявок производится с</w:t>
      </w:r>
      <w:r>
        <w:t xml:space="preserve"> </w:t>
      </w:r>
      <w:r>
        <w:t xml:space="preserve">учетом </w:t>
      </w:r>
      <w:r>
        <w:t xml:space="preserve">предоставления национального режима</w:t>
      </w:r>
      <w:r>
        <w:t xml:space="preserve"> в соответствии с порядк</w:t>
      </w:r>
      <w:r>
        <w:t xml:space="preserve">ом</w:t>
      </w:r>
      <w:r>
        <w:t xml:space="preserve">, предусмотренном подразделом</w:t>
      </w:r>
      <w:r>
        <w:t xml:space="preserve"> </w:t>
      </w:r>
      <w:r>
        <w:fldChar w:fldCharType="begin"/>
      </w:r>
      <w:r>
        <w:instrText xml:space="preserve"> REF _Ref130985951 \r \h </w:instrText>
      </w:r>
      <w:r>
        <w:fldChar w:fldCharType="separate"/>
      </w:r>
      <w:r>
        <w:t xml:space="preserve">4.12</w:t>
      </w:r>
      <w:r>
        <w:fldChar w:fldCharType="end"/>
      </w:r>
      <w:r>
        <w:t xml:space="preserve">.</w:t>
      </w:r>
      <w:r/>
    </w:p>
    <w:p>
      <w:pPr>
        <w:pStyle w:val="1067"/>
      </w:pPr>
      <w:r/>
      <w:bookmarkStart w:id="367" w:name="_Toc136249260"/>
      <w:r/>
      <w:bookmarkStart w:id="368" w:name="_Toc136261689"/>
      <w:r/>
      <w:bookmarkStart w:id="369" w:name="_Toc136261766"/>
      <w:r/>
      <w:bookmarkStart w:id="370" w:name="_Toc136249261"/>
      <w:r/>
      <w:bookmarkStart w:id="371" w:name="_Toc136261690"/>
      <w:r/>
      <w:bookmarkStart w:id="372" w:name="_Toc136261767"/>
      <w:r/>
      <w:bookmarkStart w:id="373" w:name="_Toc136249262"/>
      <w:r/>
      <w:bookmarkStart w:id="374" w:name="_Toc136261691"/>
      <w:r/>
      <w:bookmarkStart w:id="375" w:name="_Toc136261768"/>
      <w:r/>
      <w:bookmarkStart w:id="376" w:name="_Toc136249263"/>
      <w:r/>
      <w:bookmarkStart w:id="377" w:name="_Toc136261692"/>
      <w:r/>
      <w:bookmarkStart w:id="378" w:name="_Toc136261769"/>
      <w:r/>
      <w:bookmarkStart w:id="379" w:name="_Ref125360420"/>
      <w:r/>
      <w:bookmarkStart w:id="380" w:name="Прил09_ОбоснованиеНМЦ"/>
      <w:r/>
      <w:bookmarkStart w:id="381" w:name="_Toc224744379"/>
      <w:r/>
      <w:bookmarkEnd w:id="367"/>
      <w:r/>
      <w:bookmarkEnd w:id="368"/>
      <w:r/>
      <w:bookmarkEnd w:id="369"/>
      <w:r/>
      <w:bookmarkEnd w:id="370"/>
      <w:r/>
      <w:bookmarkEnd w:id="371"/>
      <w:r/>
      <w:bookmarkEnd w:id="372"/>
      <w:r/>
      <w:bookmarkEnd w:id="373"/>
      <w:r/>
      <w:bookmarkEnd w:id="374"/>
      <w:r/>
      <w:bookmarkEnd w:id="375"/>
      <w:r/>
      <w:bookmarkEnd w:id="376"/>
      <w:r/>
      <w:bookmarkEnd w:id="377"/>
      <w:r/>
      <w:bookmarkEnd w:id="378"/>
      <w:r>
        <w:t xml:space="preserve">Приложение № </w:t>
      </w:r>
      <w:r>
        <w:t xml:space="preserve">9 </w:t>
      </w:r>
      <w:r>
        <w:t xml:space="preserve">– Обоснование НМЦ</w:t>
      </w:r>
      <w:bookmarkEnd w:id="379"/>
      <w:r/>
      <w:bookmarkEnd w:id="380"/>
      <w:r/>
      <w:bookmarkEnd w:id="381"/>
      <w:r/>
      <w:r/>
    </w:p>
    <w:p>
      <w:pPr>
        <w:pStyle w:val="1068"/>
      </w:pPr>
      <w:r/>
      <w:bookmarkStart w:id="382" w:name="_Toc224744380"/>
      <w:r>
        <w:t xml:space="preserve">Пояснения к Обоснованию НМЦ</w:t>
      </w:r>
      <w:bookmarkEnd w:id="382"/>
      <w:r/>
      <w:r/>
    </w:p>
    <w:p>
      <w:pPr>
        <w:pStyle w:val="1069"/>
      </w:pPr>
      <w:r>
        <w:t xml:space="preserve">Обоснование НМЦ приведено </w:t>
      </w:r>
      <w:r>
        <w:t xml:space="preserve">в отдельном файле</w:t>
      </w:r>
      <w:r>
        <w:t xml:space="preserve"> (</w:t>
      </w:r>
      <w:r>
        <w:t xml:space="preserve">предоставляется отдельным документом в составе Документации о закупке</w:t>
      </w:r>
      <w:r>
        <w:t xml:space="preserve">)</w:t>
      </w:r>
      <w:r>
        <w:t xml:space="preserve">, являющимся Приложением № </w:t>
      </w:r>
      <w:r>
        <w:t xml:space="preserve">9 </w:t>
      </w:r>
      <w:r>
        <w:t xml:space="preserve">к Документации о закупке</w:t>
      </w:r>
      <w:r>
        <w:t xml:space="preserve">.</w:t>
      </w:r>
      <w:r/>
    </w:p>
    <w:p>
      <w:pPr>
        <w:pStyle w:val="1067"/>
      </w:pPr>
      <w:r/>
      <w:bookmarkStart w:id="383" w:name="Прил10_ЗаявкаНаАккредитацию"/>
      <w:r/>
      <w:bookmarkStart w:id="384" w:name="_Toc224744381"/>
      <w:r/>
      <w:bookmarkEnd w:id="383"/>
      <w:r>
        <w:t xml:space="preserve">Приложение № </w:t>
      </w:r>
      <w:r>
        <w:t xml:space="preserve">10 </w:t>
      </w:r>
      <w:r>
        <w:t xml:space="preserve">– Форма Заявки на аккредитацию</w:t>
      </w:r>
      <w:bookmarkEnd w:id="384"/>
      <w:r/>
      <w:r/>
    </w:p>
    <w:p>
      <w:pPr>
        <w:pStyle w:val="1068"/>
      </w:pPr>
      <w:r/>
      <w:bookmarkStart w:id="385" w:name="_Toc224744382"/>
      <w:r>
        <w:t xml:space="preserve">Пояснения к форме Заявки на аккредитацию</w:t>
      </w:r>
      <w:bookmarkEnd w:id="385"/>
      <w:r/>
      <w:r/>
    </w:p>
    <w:p>
      <w:pPr>
        <w:pStyle w:val="1069"/>
      </w:pPr>
      <w:r>
        <w:t xml:space="preserve">Форма Заявки на аккредитацию приведена в отдельном файле</w:t>
      </w:r>
      <w:r>
        <w:t xml:space="preserve"> (</w:t>
      </w:r>
      <w:r>
        <w:t xml:space="preserve">предоставляется отдельным документом в составе Документации о закупке</w:t>
      </w:r>
      <w:r>
        <w:t xml:space="preserve">)</w:t>
      </w:r>
      <w:r>
        <w:t xml:space="preserve">, являющимся Приложением № </w:t>
      </w:r>
      <w:r>
        <w:t xml:space="preserve">10 </w:t>
      </w:r>
      <w:r>
        <w:t xml:space="preserve">к Документации о закупке.</w:t>
      </w:r>
      <w:r>
        <w:t xml:space="preserve"> </w:t>
      </w:r>
      <w:r/>
    </w:p>
    <w:p>
      <w:pPr>
        <w:pStyle w:val="1069"/>
      </w:pPr>
      <w:r>
        <w:t xml:space="preserve">Заявка на аккредитацию предоставляется (в установленных Документацией о закупке случаях) Участником в составе своей заявки </w:t>
      </w:r>
      <w:bookmarkStart w:id="386" w:name="_Hlk207300788"/>
      <w:r>
        <w:t xml:space="preserve">только в электронном виде в формате </w:t>
      </w:r>
      <w:r>
        <w:rPr>
          <w:lang w:val="en-US"/>
        </w:rPr>
        <w:t xml:space="preserve">Microsoft</w:t>
      </w:r>
      <w:r>
        <w:t xml:space="preserve"> </w:t>
      </w:r>
      <w:r>
        <w:rPr>
          <w:lang w:val="en-US"/>
        </w:rPr>
        <w:t xml:space="preserve">Excel</w:t>
      </w:r>
      <w:r>
        <w:t xml:space="preserve"> (*.</w:t>
      </w:r>
      <w:r>
        <w:rPr>
          <w:lang w:val="en-US"/>
        </w:rPr>
        <w:t xml:space="preserve">xlsx</w:t>
      </w:r>
      <w:r>
        <w:t xml:space="preserve">))</w:t>
      </w:r>
      <w:bookmarkEnd w:id="386"/>
      <w:r>
        <w:t xml:space="preserve">.</w:t>
      </w:r>
      <w:r/>
    </w:p>
    <w:p>
      <w:pPr>
        <w:pStyle w:val="1073"/>
        <w:jc w:val="center"/>
      </w:pPr>
      <w:r>
        <mc:AlternateContent>
          <mc:Choice Requires="wpg">
            <w:drawing>
              <wp:inline xmlns:wp="http://schemas.openxmlformats.org/drawingml/2006/wordprocessingDrawing" distT="0" distB="0" distL="0" distR="0">
                <wp:extent cx="1002030" cy="629285"/>
                <wp:effectExtent l="0" t="0" r="0" b="0"/>
                <wp:docPr id="5" name="_x0000_i4"/>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5">
                          <a:extLst>
                            <a:ext uri="{96DAC541-7B7A-43D3-8B79-37D633B846F1}">
                              <asvg:svgBlip xmlns:asvg="http://schemas.microsoft.com/office/drawing/2016/SVG/main" r:embed="rId26"/>
                            </a:ext>
                          </a:extLst>
                        </a:blip>
                        <a:stretch/>
                      </pic:blipFill>
                      <pic:spPr bwMode="auto">
                        <a:xfrm>
                          <a:off x="0" y="0"/>
                          <a:ext cx="1002030" cy="62928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 o:spid="_x0000_s4" type="#_x0000_t75" style="width:78.90pt;height:49.55pt;mso-wrap-distance-left:0.00pt;mso-wrap-distance-top:0.00pt;mso-wrap-distance-right:0.00pt;mso-wrap-distance-bottom:0.00pt;" stroked="f">
                <v:path textboxrect="0,0,0,0"/>
                <v:imagedata r:id="rId25" o:title=""/>
              </v:shape>
            </w:pict>
          </mc:Fallback>
        </mc:AlternateContent>
      </w:r>
      <w:r/>
    </w:p>
    <w:p>
      <w:pPr>
        <w:pStyle w:val="1067"/>
      </w:pPr>
      <w:r/>
      <w:bookmarkStart w:id="387" w:name="Прил11_Данные_бухотчетность"/>
      <w:r/>
      <w:bookmarkStart w:id="388" w:name="_Toc224744383"/>
      <w:r/>
      <w:bookmarkStart w:id="389" w:name="_Hlk210644436"/>
      <w:r>
        <w:t xml:space="preserve">Приложение № 11 </w:t>
      </w:r>
      <w:bookmarkEnd w:id="387"/>
      <w:r>
        <w:t xml:space="preserve">– форма Данных бухгалтерской (финансовой) отчетности</w:t>
      </w:r>
      <w:bookmarkEnd w:id="388"/>
      <w:r/>
      <w:r/>
    </w:p>
    <w:p>
      <w:pPr>
        <w:pStyle w:val="1068"/>
      </w:pPr>
      <w:r/>
      <w:bookmarkStart w:id="390" w:name="_Toc224744384"/>
      <w:r>
        <w:t xml:space="preserve">Пояснения к форме Данных бухгалтерской (финансовой) отчетности</w:t>
      </w:r>
      <w:bookmarkEnd w:id="390"/>
      <w:r>
        <w:t xml:space="preserve"> </w:t>
      </w:r>
      <w:r/>
    </w:p>
    <w:p>
      <w:pPr>
        <w:pStyle w:val="1069"/>
      </w:pPr>
      <w:r>
        <w:t xml:space="preserve">Форма Данных бухгалтерской (финансовой) отчетности приведена в отдельном файле</w:t>
      </w:r>
      <w:r>
        <w:t xml:space="preserve"> (</w:t>
      </w:r>
      <w:r>
        <w:t xml:space="preserve">предоставляется отдельным документом в составе Документации о закупке</w:t>
      </w:r>
      <w:r>
        <w:t xml:space="preserve">)</w:t>
      </w:r>
      <w:r>
        <w:t xml:space="preserve">, являющимся Приложением № 11 к Документации о закупке.</w:t>
      </w:r>
      <w:r/>
    </w:p>
    <w:p>
      <w:r/>
      <w:r/>
    </w:p>
    <w:p>
      <w:pPr>
        <w:jc w:val="center"/>
      </w:pPr>
      <w:r/>
      <w:bookmarkStart w:id="391" w:name="_MON_1821256687"/>
      <w:r/>
      <w:bookmarkEnd w:id="391"/>
      <w:r>
        <mc:AlternateContent>
          <mc:Choice Requires="wpg">
            <w:drawing>
              <wp:inline xmlns:wp="http://schemas.openxmlformats.org/drawingml/2006/wordprocessingDrawing" distT="0" distB="0" distL="0" distR="0">
                <wp:extent cx="978535" cy="629285"/>
                <wp:effectExtent l="0" t="0" r="0" b="0"/>
                <wp:docPr id="6" name="_x0000_i5"/>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7">
                          <a:extLst>
                            <a:ext uri="{96DAC541-7B7A-43D3-8B79-37D633B846F1}">
                              <asvg:svgBlip xmlns:asvg="http://schemas.microsoft.com/office/drawing/2016/SVG/main" r:embed="rId28"/>
                            </a:ext>
                          </a:extLst>
                        </a:blip>
                        <a:stretch/>
                      </pic:blipFill>
                      <pic:spPr bwMode="auto">
                        <a:xfrm>
                          <a:off x="0" y="0"/>
                          <a:ext cx="978535" cy="62928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5" o:spid="_x0000_s5" type="#_x0000_t75" style="width:77.05pt;height:49.55pt;mso-wrap-distance-left:0.00pt;mso-wrap-distance-top:0.00pt;mso-wrap-distance-right:0.00pt;mso-wrap-distance-bottom:0.00pt;" stroked="f">
                <v:path textboxrect="0,0,0,0"/>
                <v:imagedata r:id="rId27" o:title=""/>
              </v:shape>
            </w:pict>
          </mc:Fallback>
        </mc:AlternateContent>
      </w:r>
      <w:bookmarkEnd w:id="389"/>
      <w:r/>
      <w:r/>
    </w:p>
    <w:p>
      <w:pPr>
        <w:jc w:val="center"/>
      </w:pPr>
      <w:r/>
      <w:r/>
    </w:p>
    <w:sectPr>
      <w:footnotePr/>
      <w:endnotePr/>
      <w:type w:val="nextPage"/>
      <w:pgSz w:w="11906" w:h="16838" w:orient="portrait"/>
      <w:pgMar w:top="851" w:right="850" w:bottom="851" w:left="1134" w:header="567" w:footer="567"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before="0"/>
      </w:pPr>
      <w:r>
        <w:separator/>
      </w:r>
      <w:r/>
    </w:p>
  </w:endnote>
  <w:endnote w:type="continuationSeparator" w:id="0">
    <w:p>
      <w:pPr>
        <w:spacing w:before="0"/>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font>
  <w:font w:name="Wingdings">
    <w:panose1 w:val="05010000000000000000"/>
  </w:font>
  <w:font w:name="Courier New">
    <w:panose1 w:val="02070309020205020404"/>
  </w:font>
  <w:font w:name="Symbol">
    <w:panose1 w:val="05010000000000000000"/>
  </w:font>
  <w:font w:name="Calibri">
    <w:panose1 w:val="020F0502020204030204"/>
  </w:font>
  <w:font w:name="Segoe UI">
    <w:panose1 w:val="020B0503020204020204"/>
  </w:font>
  <w:font w:name="Arial">
    <w:panose1 w:val="020B0604020202020204"/>
  </w:font>
  <w:font w:name="Times New Roman">
    <w:panose1 w:val="020206030504050203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613905730"/>
      <w:docPartObj>
        <w:docPartGallery w:val="Page Numbers (Bottom of Page)"/>
        <w:docPartUnique w:val="true"/>
      </w:docPartObj>
      <w:rPr/>
    </w:sdtPr>
    <w:sdtContent>
      <w:p>
        <w:pPr>
          <w:pStyle w:val="1076"/>
        </w:pPr>
        <w:r>
          <w:fldChar w:fldCharType="begin"/>
        </w:r>
        <w:r>
          <w:instrText xml:space="preserve">PAGE   \* MERGEFORMAT</w:instrText>
        </w:r>
        <w:r>
          <w:fldChar w:fldCharType="separate"/>
        </w:r>
        <w:r>
          <w:t xml:space="preserve">2</w:t>
        </w:r>
        <w:r>
          <w:fldChar w:fldCharType="end"/>
        </w:r>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before="0"/>
      </w:pPr>
      <w:r>
        <w:separator/>
      </w:r>
      <w:r/>
    </w:p>
  </w:footnote>
  <w:footnote w:type="continuationSeparator" w:id="0">
    <w:p>
      <w:pPr>
        <w:spacing w:before="0"/>
      </w:pPr>
      <w:r>
        <w:continuationSeparator/>
      </w:r>
      <w:r/>
    </w:p>
  </w:footnote>
  <w:footnote w:id="2">
    <w:p>
      <w:pPr>
        <w:pStyle w:val="1082"/>
      </w:pPr>
      <w:r>
        <w:rPr>
          <w:rStyle w:val="1081"/>
        </w:rPr>
        <w:footnoteRef/>
      </w:r>
      <w:r>
        <w:tab/>
      </w:r>
      <w:r>
        <w:t xml:space="preserve">Определенные в соответствии с </w:t>
      </w:r>
      <w:r>
        <w:t xml:space="preserve">Законом </w:t>
      </w:r>
      <w:r>
        <w:t xml:space="preserve">422-ФЗ.</w:t>
      </w:r>
      <w:r/>
    </w:p>
  </w:footnote>
  <w:footnote w:id="3">
    <w:p>
      <w:pPr>
        <w:pStyle w:val="1082"/>
      </w:pPr>
      <w:r>
        <w:rPr>
          <w:rStyle w:val="1081"/>
        </w:rPr>
        <w:footnoteRef/>
      </w:r>
      <w:r>
        <w:tab/>
      </w:r>
      <w:r>
        <w:t xml:space="preserve">В отношении предоставляемой Участником</w:t>
      </w:r>
      <w:r>
        <w:t xml:space="preserve"> (в целях обеспечения проведения оценки его финансового состояния (устойчивости) в соответствии с Положением об аккредитации)</w:t>
      </w:r>
      <w:r>
        <w:t xml:space="preserve"> бухгалтерской (финансовой) отчетности</w:t>
      </w:r>
      <w:r>
        <w:t xml:space="preserve"> самостоятельные</w:t>
      </w:r>
      <w:r>
        <w:t xml:space="preserve"> исправления арифметических ошибок не</w:t>
      </w:r>
      <w:r>
        <w:t xml:space="preserve"> </w:t>
      </w:r>
      <w:r>
        <w:t xml:space="preserve">допускается</w:t>
      </w:r>
      <w:r>
        <w:t xml:space="preserve"> (все изменения в отчетность должны вноситься в установленном законодательством порядке).</w:t>
      </w:r>
      <w:r/>
    </w:p>
  </w:footnote>
  <w:footnote w:id="4">
    <w:p>
      <w:pPr>
        <w:pStyle w:val="1082"/>
      </w:pPr>
      <w:r>
        <w:rPr>
          <w:rStyle w:val="1081"/>
        </w:rPr>
        <w:footnoteRef/>
      </w:r>
      <w:r>
        <w:tab/>
      </w:r>
      <w:r>
        <w:t xml:space="preserve">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r/>
    </w:p>
  </w:footnote>
  <w:footnote w:id="5">
    <w:p>
      <w:pPr>
        <w:pStyle w:val="1082"/>
      </w:pPr>
      <w:r>
        <w:rPr>
          <w:rStyle w:val="1081"/>
        </w:rPr>
        <w:footnoteRef/>
      </w:r>
      <w:r>
        <w:tab/>
        <w:t xml:space="preserve">По решению Организатора (в соответствии с </w:t>
      </w:r>
      <w:r>
        <w:t xml:space="preserve">Положением</w:t>
      </w:r>
      <w:r>
        <w:t xml:space="preserve"> о закупке) в протоколе могут не отражаться сведения, позволяющие идентифицировать Участников</w:t>
      </w:r>
      <w:r>
        <w:t xml:space="preserve"> и Победителя</w:t>
      </w:r>
      <w:r>
        <w:t xml:space="preserve">.</w:t>
      </w:r>
      <w:r/>
    </w:p>
  </w:footnote>
  <w:footnote w:id="6">
    <w:p>
      <w:pPr>
        <w:pStyle w:val="1082"/>
      </w:pPr>
      <w:r>
        <w:rPr>
          <w:rStyle w:val="1081"/>
        </w:rPr>
        <w:footnoteRef/>
      </w:r>
      <w:r>
        <w:tab/>
      </w:r>
      <w:r>
        <w:t xml:space="preserve">https://minfin.gov.ru/ru/perfomance/tax_relations/policy/bankwarranty/</w:t>
      </w:r>
      <w:r/>
    </w:p>
  </w:footnote>
  <w:footnote w:id="7">
    <w:p>
      <w:pPr>
        <w:pStyle w:val="1082"/>
      </w:pPr>
      <w:r>
        <w:rPr>
          <w:rStyle w:val="1081"/>
        </w:rPr>
        <w:footnoteRef/>
      </w:r>
      <w:r>
        <w:tab/>
      </w:r>
      <w:bookmarkStart w:id="279" w:name="_Hlk139028796"/>
      <w:r>
        <w:t xml:space="preserve">Во исполнение Указа Президента Российской Федерации от 03.05.2022 №</w:t>
      </w:r>
      <w:r>
        <w:t xml:space="preserve"> </w:t>
      </w:r>
      <w:r>
        <w:t xml:space="preserve">252 «О применении ответных специальных экономических мер в связи с</w:t>
      </w:r>
      <w:r>
        <w:t xml:space="preserve"> </w:t>
      </w:r>
      <w:r>
        <w:t xml:space="preserve">недружественными действиями некоторых иностранных государств и международных организаций».</w:t>
      </w:r>
      <w:bookmarkEnd w:id="279"/>
      <w:r/>
      <w:r/>
    </w:p>
  </w:footnote>
  <w:footnote w:id="8">
    <w:p>
      <w:pPr>
        <w:pStyle w:val="1082"/>
      </w:pPr>
      <w:r>
        <w:rPr>
          <w:rStyle w:val="1081"/>
        </w:rPr>
        <w:footnoteRef/>
      </w:r>
      <w:r>
        <w:tab/>
      </w:r>
      <w:bookmarkStart w:id="280" w:name="_Hlk139028803"/>
      <w:r/>
      <w:bookmarkStart w:id="281" w:name="_Hlk139028804"/>
      <w:r>
        <w:t xml:space="preserve">Перед заключением договора Заказчик дополнительно проводит проверку Победителя (данная норма применима также в отношении </w:t>
      </w:r>
      <w:r>
        <w:t xml:space="preserve">Е</w:t>
      </w:r>
      <w:r>
        <w:t xml:space="preserve">динственного </w:t>
      </w:r>
      <w:r>
        <w:t xml:space="preserve">у</w:t>
      </w:r>
      <w:r>
        <w:t xml:space="preserve">частника несостоявшейся закупки, с которым принято решение о заключении договора) на основании документов, предоставляемых в соответствии с</w:t>
      </w:r>
      <w:r>
        <w:t xml:space="preserve"> </w:t>
      </w:r>
      <w:r>
        <w:t xml:space="preserve">подразделом</w:t>
      </w:r>
      <w:r>
        <w:t xml:space="preserve"> </w:t>
      </w:r>
      <w:r>
        <w:fldChar w:fldCharType="begin"/>
      </w:r>
      <w:r>
        <w:instrText xml:space="preserve"> REF _Ref138232981 \r \h </w:instrText>
      </w:r>
      <w:r>
        <w:fldChar w:fldCharType="separate"/>
      </w:r>
      <w:r>
        <w:t xml:space="preserve">5.2</w:t>
      </w:r>
      <w:r>
        <w:fldChar w:fldCharType="end"/>
      </w:r>
      <w:r>
        <w:t xml:space="preserve">. </w:t>
      </w:r>
      <w:r>
        <w:t xml:space="preserve">Е</w:t>
      </w:r>
      <w:r>
        <w:t xml:space="preserve">сли по результатам такой проверки Участник не отвечает установленным требованиям, то он утрачивает статус Победителя, а</w:t>
      </w:r>
      <w:r>
        <w:t xml:space="preserve"> </w:t>
      </w:r>
      <w:r>
        <w:t xml:space="preserve">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bookmarkEnd w:id="280"/>
      <w:r/>
      <w:bookmarkEnd w:id="281"/>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74"/>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4">
    <w:multiLevelType w:val="hybridMultilevel"/>
    <w:lvl w:ilvl="0">
      <w:start w:val="1"/>
      <w:numFmt w:val="russianLower"/>
      <w:isLgl w:val="false"/>
      <w:suff w:val="tab"/>
      <w:lvlText w:val="%1)"/>
      <w:lvlJc w:val="left"/>
      <w:pPr>
        <w:ind w:left="720" w:hanging="360"/>
      </w:pPr>
      <w:rPr>
        <w:rFonts w:hint="default" w:ascii="Times New Roman" w:hAnsi="Times New Roman" w:cs="Times New Roman"/>
        <w:sz w:val="26"/>
        <w:szCs w:val="26"/>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5">
    <w:multiLevelType w:val="hybridMultilevel"/>
    <w:lvl w:ilvl="0">
      <w:start w:val="1"/>
      <w:numFmt w:val="decimal"/>
      <w:pStyle w:val="1110"/>
      <w:isLgl w:val="false"/>
      <w:suff w:val="tab"/>
      <w:lvlText w:val="%1."/>
      <w:lvlJc w:val="left"/>
      <w:pPr>
        <w:ind w:left="0" w:firstLine="0"/>
        <w:tabs>
          <w:tab w:val="num" w:pos="851" w:leader="none"/>
        </w:tabs>
      </w:pPr>
      <w:rPr>
        <w:rFonts w:hint="default"/>
      </w:rPr>
    </w:lvl>
    <w:lvl w:ilvl="1">
      <w:start w:val="1"/>
      <w:numFmt w:val="decimal"/>
      <w:pStyle w:val="1111"/>
      <w:isLgl w:val="false"/>
      <w:suff w:val="tab"/>
      <w:lvlText w:val="%1.%2."/>
      <w:lvlJc w:val="left"/>
      <w:pPr>
        <w:ind w:left="1418" w:hanging="1418"/>
      </w:pPr>
      <w:rPr>
        <w:rFonts w:hint="default" w:ascii="Times New Roman" w:hAnsi="Times New Roman" w:cs="Times New Roman"/>
        <w:b/>
        <w:bCs/>
        <w:i w:val="0"/>
        <w:iCs w:val="0"/>
        <w:caps w:val="0"/>
        <w:smallCaps w:val="0"/>
        <w:strike w:val="0"/>
        <w:vanish w:val="0"/>
        <w:color w:val="000000"/>
        <w:spacing w:val="0"/>
        <w:position w:val="0"/>
        <w:sz w:val="28"/>
        <w:szCs w:val="28"/>
        <w:u w:val="none"/>
        <w:vertAlign w:val="baseline"/>
        <w14:textOutline w14:w="0" w14:cap="rnd" w14:cmpd="sng" w14:algn="ctr">
          <w14:noFill/>
          <w14:prstDash w14:val="solid"/>
          <w14:bevel/>
        </w14:textOutline>
      </w:rPr>
    </w:lvl>
    <w:lvl w:ilvl="2">
      <w:start w:val="1"/>
      <w:numFmt w:val="decimal"/>
      <w:pStyle w:val="1116"/>
      <w:isLgl w:val="false"/>
      <w:suff w:val="tab"/>
      <w:lvlText w:val="%1.%2.%3."/>
      <w:lvlJc w:val="left"/>
      <w:pPr>
        <w:ind w:left="1418" w:hanging="1418"/>
        <w:tabs>
          <w:tab w:val="num" w:pos="1701" w:leader="none"/>
        </w:tabs>
      </w:pPr>
      <w:rPr>
        <w:rFonts w:hint="default"/>
        <w:b w:val="0"/>
        <w:bCs/>
        <w:sz w:val="28"/>
        <w:szCs w:val="28"/>
      </w:rPr>
    </w:lvl>
    <w:lvl w:ilvl="3">
      <w:start w:val="1"/>
      <w:numFmt w:val="decimal"/>
      <w:pStyle w:val="1113"/>
      <w:isLgl w:val="false"/>
      <w:suff w:val="tab"/>
      <w:lvlText w:val="%1.%2.%3.%4."/>
      <w:lvlJc w:val="left"/>
      <w:pPr>
        <w:ind w:left="1418" w:hanging="1418"/>
        <w:tabs>
          <w:tab w:val="num" w:pos="1701" w:leader="none"/>
        </w:tabs>
      </w:pPr>
      <w:rPr>
        <w:rFonts w:hint="default" w:ascii="Times New Roman" w:hAnsi="Times New Roman" w:cs="Times New Roman"/>
        <w:b w:val="0"/>
        <w:bCs/>
        <w:i w:val="0"/>
        <w:iCs w:val="0"/>
        <w:caps w:val="0"/>
        <w:smallCaps w:val="0"/>
        <w:strike w:val="0"/>
        <w:vanish w:val="0"/>
        <w:color w:val="000000"/>
        <w:spacing w:val="0"/>
        <w:position w:val="0"/>
        <w:sz w:val="28"/>
        <w:szCs w:val="28"/>
        <w:u w:val="none"/>
        <w:vertAlign w:val="baseline"/>
        <w14:textOutline w14:w="0" w14:cap="rnd" w14:cmpd="sng" w14:algn="ctr">
          <w14:noFill/>
          <w14:prstDash w14:val="solid"/>
          <w14:bevel/>
        </w14:textOutline>
      </w:rPr>
    </w:lvl>
    <w:lvl w:ilvl="4">
      <w:start w:val="1"/>
      <w:numFmt w:val="russianLower"/>
      <w:pStyle w:val="1112"/>
      <w:isLgl w:val="false"/>
      <w:suff w:val="tab"/>
      <w:lvlText w:val="%5)"/>
      <w:lvlJc w:val="left"/>
      <w:pPr>
        <w:ind w:left="1985" w:hanging="567"/>
        <w:tabs>
          <w:tab w:val="num" w:pos="1985" w:leader="none"/>
        </w:tabs>
      </w:pPr>
      <w:rPr>
        <w:rFonts w:hint="default" w:ascii="Times New Roman" w:hAnsi="Times New Roman" w:cs="Times New Roman"/>
        <w:b w:val="0"/>
        <w:bCs w:val="0"/>
        <w:i w:val="0"/>
        <w:iCs w:val="0"/>
        <w:caps w:val="0"/>
        <w:smallCaps w:val="0"/>
        <w:strike w:val="0"/>
        <w:vanish w:val="0"/>
        <w:spacing w:val="0"/>
        <w:position w:val="0"/>
        <w:u w:val="none"/>
        <w:vertAlign w:val="baseline"/>
        <w14:textOutline w14:w="0" w14:cap="rnd" w14:cmpd="sng" w14:algn="ctr">
          <w14:noFill/>
          <w14:prstDash w14:val="solid"/>
          <w14:bevel/>
        </w14:textOutline>
        <w14:ligatures w14:val="none"/>
      </w:rPr>
    </w:lvl>
    <w:lvl w:ilvl="5">
      <w:start w:val="1"/>
      <w:numFmt w:val="bullet"/>
      <w:pStyle w:val="1115"/>
      <w:isLgl w:val="false"/>
      <w:suff w:val="tab"/>
      <w:lvlText w:val=""/>
      <w:lvlJc w:val="left"/>
      <w:pPr>
        <w:ind w:left="1985" w:hanging="567"/>
        <w:tabs>
          <w:tab w:val="num" w:pos="1985" w:leader="none"/>
        </w:tabs>
      </w:pPr>
      <w:rPr>
        <w:rFonts w:hint="default" w:ascii="Symbol" w:hAnsi="Symbol"/>
      </w:rPr>
    </w:lvl>
    <w:lvl w:ilvl="6">
      <w:start w:val="1"/>
      <w:numFmt w:val="bullet"/>
      <w:isLgl w:val="false"/>
      <w:suff w:val="tab"/>
      <w:lvlText w:val=""/>
      <w:lvlJc w:val="left"/>
      <w:pPr>
        <w:ind w:left="5040" w:hanging="360"/>
      </w:pPr>
      <w:rPr>
        <w:rFonts w:hint="default" w:ascii="Wingdings" w:hAnsi="Wingdings"/>
      </w:rPr>
    </w:lvl>
    <w:lvl w:ilvl="7">
      <w:start w:val="1"/>
      <w:numFmt w:val="lowerLetter"/>
      <w:isLgl w:val="false"/>
      <w:suff w:val="tab"/>
      <w:lvlText w:val="%8."/>
      <w:lvlJc w:val="left"/>
      <w:pPr>
        <w:ind w:left="5760" w:hanging="360"/>
      </w:pPr>
      <w:rPr>
        <w:rFonts w:hint="default"/>
      </w:rPr>
    </w:lvl>
    <w:lvl w:ilvl="8">
      <w:start w:val="1"/>
      <w:numFmt w:val="lowerRoman"/>
      <w:isLgl w:val="false"/>
      <w:suff w:val="tab"/>
      <w:lvlText w:val="%9."/>
      <w:lvlJc w:val="right"/>
      <w:pPr>
        <w:ind w:left="6480" w:hanging="180"/>
      </w:pPr>
      <w:rPr>
        <w:rFonts w:hint="default"/>
      </w:rPr>
    </w:lvl>
  </w:abstractNum>
  <w:abstractNum w:abstractNumId="6">
    <w:multiLevelType w:val="hybridMultilevel"/>
    <w:lvl w:ilvl="0">
      <w:start w:val="1"/>
      <w:numFmt w:val="decimal"/>
      <w:isLgl w:val="false"/>
      <w:suff w:val="tab"/>
      <w:lvlText w:val="%1)"/>
      <w:lvlJc w:val="left"/>
      <w:pPr>
        <w:ind w:left="2705" w:hanging="360"/>
      </w:pPr>
    </w:lvl>
    <w:lvl w:ilvl="1">
      <w:start w:val="1"/>
      <w:numFmt w:val="lowerLetter"/>
      <w:isLgl w:val="false"/>
      <w:suff w:val="tab"/>
      <w:lvlText w:val="%2."/>
      <w:lvlJc w:val="left"/>
      <w:pPr>
        <w:ind w:left="3425" w:hanging="360"/>
      </w:pPr>
    </w:lvl>
    <w:lvl w:ilvl="2">
      <w:start w:val="1"/>
      <w:numFmt w:val="lowerRoman"/>
      <w:isLgl w:val="false"/>
      <w:suff w:val="tab"/>
      <w:lvlText w:val="%3."/>
      <w:lvlJc w:val="right"/>
      <w:pPr>
        <w:ind w:left="4145" w:hanging="180"/>
      </w:pPr>
    </w:lvl>
    <w:lvl w:ilvl="3">
      <w:start w:val="1"/>
      <w:numFmt w:val="decimal"/>
      <w:isLgl w:val="false"/>
      <w:suff w:val="tab"/>
      <w:lvlText w:val="%4."/>
      <w:lvlJc w:val="left"/>
      <w:pPr>
        <w:ind w:left="4865" w:hanging="360"/>
      </w:pPr>
    </w:lvl>
    <w:lvl w:ilvl="4">
      <w:start w:val="1"/>
      <w:numFmt w:val="lowerLetter"/>
      <w:isLgl w:val="false"/>
      <w:suff w:val="tab"/>
      <w:lvlText w:val="%5."/>
      <w:lvlJc w:val="left"/>
      <w:pPr>
        <w:ind w:left="5585" w:hanging="360"/>
      </w:pPr>
    </w:lvl>
    <w:lvl w:ilvl="5">
      <w:start w:val="1"/>
      <w:numFmt w:val="lowerRoman"/>
      <w:isLgl w:val="false"/>
      <w:suff w:val="tab"/>
      <w:lvlText w:val="%6."/>
      <w:lvlJc w:val="right"/>
      <w:pPr>
        <w:ind w:left="6305" w:hanging="180"/>
      </w:pPr>
    </w:lvl>
    <w:lvl w:ilvl="6">
      <w:start w:val="1"/>
      <w:numFmt w:val="decimal"/>
      <w:isLgl w:val="false"/>
      <w:suff w:val="tab"/>
      <w:lvlText w:val="%7."/>
      <w:lvlJc w:val="left"/>
      <w:pPr>
        <w:ind w:left="7025" w:hanging="360"/>
      </w:pPr>
    </w:lvl>
    <w:lvl w:ilvl="7">
      <w:start w:val="1"/>
      <w:numFmt w:val="lowerLetter"/>
      <w:isLgl w:val="false"/>
      <w:suff w:val="tab"/>
      <w:lvlText w:val="%8."/>
      <w:lvlJc w:val="left"/>
      <w:pPr>
        <w:ind w:left="7745" w:hanging="360"/>
      </w:pPr>
    </w:lvl>
    <w:lvl w:ilvl="8">
      <w:start w:val="1"/>
      <w:numFmt w:val="lowerRoman"/>
      <w:isLgl w:val="false"/>
      <w:suff w:val="tab"/>
      <w:lvlText w:val="%9."/>
      <w:lvlJc w:val="right"/>
      <w:pPr>
        <w:ind w:left="8465" w:hanging="180"/>
      </w:pPr>
    </w:lvl>
  </w:abstractNum>
  <w:abstractNum w:abstractNumId="7">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8">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
    <w:multiLevelType w:val="hybridMultilevel"/>
    <w:lvl w:ilvl="0">
      <w:start w:val="1"/>
      <w:numFmt w:val="russianLower"/>
      <w:isLgl w:val="false"/>
      <w:suff w:val="tab"/>
      <w:lvlText w:val="%1)"/>
      <w:lvlJc w:val="left"/>
      <w:pPr>
        <w:ind w:left="720" w:hanging="360"/>
      </w:pPr>
      <w:rPr>
        <w:rFonts w:hint="default"/>
        <w:i w:val="0"/>
        <w:iCs w:val="0"/>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0">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1">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2">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3">
    <w:multiLevelType w:val="hybridMultilevel"/>
    <w:lvl w:ilvl="0">
      <w:start w:val="1"/>
      <w:numFmt w:val="decimal"/>
      <w:isLgl w:val="false"/>
      <w:suff w:val="tab"/>
      <w:lvlText w:val="%1."/>
      <w:lvlJc w:val="left"/>
      <w:pPr>
        <w:ind w:left="360" w:hanging="360"/>
      </w:pPr>
      <w:rPr>
        <w:rFonts w:hint="default"/>
      </w:rPr>
    </w:lvl>
    <w:lvl w:ilvl="1">
      <w:start w:val="1"/>
      <w:numFmt w:val="lowerLetter"/>
      <w:isLgl w:val="false"/>
      <w:suff w:val="tab"/>
      <w:lvlText w:val="%2."/>
      <w:lvlJc w:val="left"/>
      <w:pPr>
        <w:ind w:left="1080" w:hanging="360"/>
      </w:pPr>
    </w:lvl>
    <w:lvl w:ilvl="2">
      <w:start w:val="1"/>
      <w:numFmt w:val="lowerRoman"/>
      <w:isLgl w:val="false"/>
      <w:suff w:val="tab"/>
      <w:lvlText w:val="%3."/>
      <w:lvlJc w:val="right"/>
      <w:pPr>
        <w:ind w:left="1800" w:hanging="180"/>
      </w:pPr>
    </w:lvl>
    <w:lvl w:ilvl="3">
      <w:start w:val="1"/>
      <w:numFmt w:val="decimal"/>
      <w:isLgl w:val="false"/>
      <w:suff w:val="tab"/>
      <w:lvlText w:val="%4."/>
      <w:lvlJc w:val="left"/>
      <w:pPr>
        <w:ind w:left="2520" w:hanging="360"/>
      </w:pPr>
    </w:lvl>
    <w:lvl w:ilvl="4">
      <w:start w:val="1"/>
      <w:numFmt w:val="lowerLetter"/>
      <w:isLgl w:val="false"/>
      <w:suff w:val="tab"/>
      <w:lvlText w:val="%5."/>
      <w:lvlJc w:val="left"/>
      <w:pPr>
        <w:ind w:left="3240" w:hanging="360"/>
      </w:pPr>
    </w:lvl>
    <w:lvl w:ilvl="5">
      <w:start w:val="1"/>
      <w:numFmt w:val="lowerRoman"/>
      <w:isLgl w:val="false"/>
      <w:suff w:val="tab"/>
      <w:lvlText w:val="%6."/>
      <w:lvlJc w:val="right"/>
      <w:pPr>
        <w:ind w:left="3960" w:hanging="180"/>
      </w:pPr>
    </w:lvl>
    <w:lvl w:ilvl="6">
      <w:start w:val="1"/>
      <w:numFmt w:val="decimal"/>
      <w:isLgl w:val="false"/>
      <w:suff w:val="tab"/>
      <w:lvlText w:val="%7."/>
      <w:lvlJc w:val="left"/>
      <w:pPr>
        <w:ind w:left="4680" w:hanging="360"/>
      </w:pPr>
    </w:lvl>
    <w:lvl w:ilvl="7">
      <w:start w:val="1"/>
      <w:numFmt w:val="lowerLetter"/>
      <w:isLgl w:val="false"/>
      <w:suff w:val="tab"/>
      <w:lvlText w:val="%8."/>
      <w:lvlJc w:val="left"/>
      <w:pPr>
        <w:ind w:left="5400" w:hanging="360"/>
      </w:pPr>
    </w:lvl>
    <w:lvl w:ilvl="8">
      <w:start w:val="1"/>
      <w:numFmt w:val="lowerRoman"/>
      <w:isLgl w:val="false"/>
      <w:suff w:val="tab"/>
      <w:lvlText w:val="%9."/>
      <w:lvlJc w:val="right"/>
      <w:pPr>
        <w:ind w:left="6120" w:hanging="180"/>
      </w:pPr>
    </w:lvl>
  </w:abstractNum>
  <w:abstractNum w:abstractNumId="14">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6">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7">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8">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9">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0">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1">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3">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4">
    <w:multiLevelType w:val="hybridMultilevel"/>
    <w:lvl w:ilvl="0">
      <w:start w:val="1"/>
      <w:numFmt w:val="bullet"/>
      <w:isLgl w:val="false"/>
      <w:suff w:val="tab"/>
      <w:lvlText w:val="‒"/>
      <w:lvlJc w:val="left"/>
      <w:pPr>
        <w:ind w:left="720" w:hanging="360"/>
      </w:pPr>
      <w:rPr>
        <w:rFonts w:hint="default" w:ascii="Calibri" w:hAnsi="Calibri"/>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6">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7">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8">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9">
    <w:multiLevelType w:val="hybridMultilevel"/>
    <w:lvl w:ilvl="0">
      <w:start w:val="1"/>
      <w:numFmt w:val="decimal"/>
      <w:pStyle w:val="1067"/>
      <w:isLgl w:val="false"/>
      <w:suff w:val="tab"/>
      <w:lvlText w:val="%1."/>
      <w:lvlJc w:val="left"/>
      <w:pPr>
        <w:ind w:left="1134" w:hanging="1134"/>
        <w:tabs>
          <w:tab w:val="num" w:pos="1134" w:leader="none"/>
        </w:tabs>
      </w:pPr>
      <w:rPr>
        <w:rFonts w:hint="default"/>
      </w:rPr>
    </w:lvl>
    <w:lvl w:ilvl="1">
      <w:start w:val="1"/>
      <w:numFmt w:val="decimal"/>
      <w:pStyle w:val="1068"/>
      <w:isLgl w:val="false"/>
      <w:suff w:val="tab"/>
      <w:lvlText w:val="%1.%2"/>
      <w:lvlJc w:val="left"/>
      <w:pPr>
        <w:ind w:left="1134" w:hanging="1134"/>
        <w:tabs>
          <w:tab w:val="num" w:pos="1134" w:leader="none"/>
        </w:tabs>
      </w:pPr>
      <w:rPr>
        <w:rFonts w:hint="default"/>
      </w:rPr>
    </w:lvl>
    <w:lvl w:ilvl="2">
      <w:start w:val="1"/>
      <w:numFmt w:val="decimal"/>
      <w:pStyle w:val="1069"/>
      <w:isLgl w:val="false"/>
      <w:suff w:val="tab"/>
      <w:lvlText w:val="%1.%2.%3"/>
      <w:lvlJc w:val="left"/>
      <w:pPr>
        <w:ind w:left="1134" w:hanging="1134"/>
        <w:tabs>
          <w:tab w:val="num" w:pos="1134" w:leader="none"/>
        </w:tabs>
      </w:pPr>
      <w:rPr>
        <w:rFonts w:hint="default"/>
      </w:rPr>
    </w:lvl>
    <w:lvl w:ilvl="3">
      <w:start w:val="1"/>
      <w:numFmt w:val="russianLower"/>
      <w:pStyle w:val="1070"/>
      <w:isLgl w:val="false"/>
      <w:suff w:val="tab"/>
      <w:lvlText w:val="%4)"/>
      <w:lvlJc w:val="left"/>
      <w:pPr>
        <w:ind w:left="1701" w:hanging="567"/>
        <w:tabs>
          <w:tab w:val="num" w:pos="1701" w:leader="none"/>
        </w:tabs>
      </w:pPr>
      <w:rPr>
        <w:rFonts w:hint="default"/>
      </w:rPr>
    </w:lvl>
    <w:lvl w:ilvl="4">
      <w:start w:val="1"/>
      <w:numFmt w:val="bullet"/>
      <w:pStyle w:val="1071"/>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abstractNum w:abstractNumId="30">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1">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2">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3">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4">
    <w:multiLevelType w:val="hybridMultilevel"/>
    <w:lvl w:ilvl="0">
      <w:start w:val="1"/>
      <w:numFmt w:val="decimal"/>
      <w:isLgl w:val="false"/>
      <w:suff w:val="tab"/>
      <w:lvlText w:val="%1."/>
      <w:lvlJc w:val="righ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5">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
      <w:lvlJc w:val="left"/>
      <w:pPr>
        <w:ind w:left="720" w:hanging="360"/>
      </w:pPr>
      <w:rPr>
        <w:rFonts w:hint="default" w:ascii="Symbol" w:hAnsi="Symbol"/>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7">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8">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9">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0">
    <w:multiLevelType w:val="hybridMultilevel"/>
    <w:lvl w:ilvl="0">
      <w:start w:val="1"/>
      <w:numFmt w:val="bullet"/>
      <w:isLgl w:val="false"/>
      <w:suff w:val="tab"/>
      <w:lvlText w:val=""/>
      <w:lvlJc w:val="left"/>
      <w:pPr>
        <w:ind w:left="2705" w:hanging="360"/>
      </w:pPr>
      <w:rPr>
        <w:rFonts w:hint="default" w:ascii="Symbol" w:hAnsi="Symbol"/>
      </w:rPr>
    </w:lvl>
    <w:lvl w:ilvl="1">
      <w:start w:val="1"/>
      <w:numFmt w:val="lowerLetter"/>
      <w:isLgl w:val="false"/>
      <w:suff w:val="tab"/>
      <w:lvlText w:val="%2."/>
      <w:lvlJc w:val="left"/>
      <w:pPr>
        <w:ind w:left="3425" w:hanging="360"/>
      </w:pPr>
    </w:lvl>
    <w:lvl w:ilvl="2">
      <w:start w:val="1"/>
      <w:numFmt w:val="lowerRoman"/>
      <w:isLgl w:val="false"/>
      <w:suff w:val="tab"/>
      <w:lvlText w:val="%3."/>
      <w:lvlJc w:val="right"/>
      <w:pPr>
        <w:ind w:left="4145" w:hanging="180"/>
      </w:pPr>
    </w:lvl>
    <w:lvl w:ilvl="3">
      <w:start w:val="1"/>
      <w:numFmt w:val="decimal"/>
      <w:isLgl w:val="false"/>
      <w:suff w:val="tab"/>
      <w:lvlText w:val="%4."/>
      <w:lvlJc w:val="left"/>
      <w:pPr>
        <w:ind w:left="4865" w:hanging="360"/>
      </w:pPr>
    </w:lvl>
    <w:lvl w:ilvl="4">
      <w:start w:val="1"/>
      <w:numFmt w:val="lowerLetter"/>
      <w:isLgl w:val="false"/>
      <w:suff w:val="tab"/>
      <w:lvlText w:val="%5."/>
      <w:lvlJc w:val="left"/>
      <w:pPr>
        <w:ind w:left="5585" w:hanging="360"/>
      </w:pPr>
    </w:lvl>
    <w:lvl w:ilvl="5">
      <w:start w:val="1"/>
      <w:numFmt w:val="lowerRoman"/>
      <w:isLgl w:val="false"/>
      <w:suff w:val="tab"/>
      <w:lvlText w:val="%6."/>
      <w:lvlJc w:val="right"/>
      <w:pPr>
        <w:ind w:left="6305" w:hanging="180"/>
      </w:pPr>
    </w:lvl>
    <w:lvl w:ilvl="6">
      <w:start w:val="1"/>
      <w:numFmt w:val="decimal"/>
      <w:isLgl w:val="false"/>
      <w:suff w:val="tab"/>
      <w:lvlText w:val="%7."/>
      <w:lvlJc w:val="left"/>
      <w:pPr>
        <w:ind w:left="7025" w:hanging="360"/>
      </w:pPr>
    </w:lvl>
    <w:lvl w:ilvl="7">
      <w:start w:val="1"/>
      <w:numFmt w:val="lowerLetter"/>
      <w:isLgl w:val="false"/>
      <w:suff w:val="tab"/>
      <w:lvlText w:val="%8."/>
      <w:lvlJc w:val="left"/>
      <w:pPr>
        <w:ind w:left="7745" w:hanging="360"/>
      </w:pPr>
    </w:lvl>
    <w:lvl w:ilvl="8">
      <w:start w:val="1"/>
      <w:numFmt w:val="lowerRoman"/>
      <w:isLgl w:val="false"/>
      <w:suff w:val="tab"/>
      <w:lvlText w:val="%9."/>
      <w:lvlJc w:val="right"/>
      <w:pPr>
        <w:ind w:left="8465" w:hanging="180"/>
      </w:pPr>
    </w:lvl>
  </w:abstractNum>
  <w:num w:numId="1">
    <w:abstractNumId w:val="29"/>
  </w:num>
  <w:num w:numId="2">
    <w:abstractNumId w:val="34"/>
  </w:num>
  <w:num w:numId="3">
    <w:abstractNumId w:val="30"/>
  </w:num>
  <w:num w:numId="4">
    <w:abstractNumId w:val="7"/>
  </w:num>
  <w:num w:numId="5">
    <w:abstractNumId w:val="32"/>
  </w:num>
  <w:num w:numId="6">
    <w:abstractNumId w:val="25"/>
  </w:num>
  <w:num w:numId="7">
    <w:abstractNumId w:val="15"/>
  </w:num>
  <w:num w:numId="8">
    <w:abstractNumId w:val="11"/>
  </w:num>
  <w:num w:numId="9">
    <w:abstractNumId w:val="1"/>
  </w:num>
  <w:num w:numId="10">
    <w:abstractNumId w:val="35"/>
  </w:num>
  <w:num w:numId="11">
    <w:abstractNumId w:val="12"/>
  </w:num>
  <w:num w:numId="12">
    <w:abstractNumId w:val="33"/>
  </w:num>
  <w:num w:numId="13">
    <w:abstractNumId w:val="8"/>
  </w:num>
  <w:num w:numId="14">
    <w:abstractNumId w:val="0"/>
  </w:num>
  <w:num w:numId="15">
    <w:abstractNumId w:val="38"/>
  </w:num>
  <w:num w:numId="16">
    <w:abstractNumId w:val="3"/>
  </w:num>
  <w:num w:numId="17">
    <w:abstractNumId w:val="17"/>
  </w:num>
  <w:num w:numId="18">
    <w:abstractNumId w:val="4"/>
  </w:num>
  <w:num w:numId="19">
    <w:abstractNumId w:val="13"/>
  </w:num>
  <w:num w:numId="20">
    <w:abstractNumId w:val="29"/>
  </w:num>
  <w:num w:numId="21">
    <w:abstractNumId w:val="37"/>
  </w:num>
  <w:num w:numId="22">
    <w:abstractNumId w:val="31"/>
  </w:num>
  <w:num w:numId="23">
    <w:abstractNumId w:val="24"/>
  </w:num>
  <w:num w:numId="24">
    <w:abstractNumId w:val="16"/>
  </w:num>
  <w:num w:numId="25">
    <w:abstractNumId w:val="10"/>
  </w:num>
  <w:num w:numId="26">
    <w:abstractNumId w:val="22"/>
  </w:num>
  <w:num w:numId="27">
    <w:abstractNumId w:val="19"/>
  </w:num>
  <w:num w:numId="28">
    <w:abstractNumId w:val="39"/>
  </w:num>
  <w:num w:numId="29">
    <w:abstractNumId w:val="21"/>
  </w:num>
  <w:num w:numId="30">
    <w:abstractNumId w:val="2"/>
  </w:num>
  <w:num w:numId="31">
    <w:abstractNumId w:val="14"/>
  </w:num>
  <w:num w:numId="32">
    <w:abstractNumId w:val="27"/>
  </w:num>
  <w:num w:numId="33">
    <w:abstractNumId w:val="18"/>
  </w:num>
  <w:num w:numId="34">
    <w:abstractNumId w:val="36"/>
  </w:num>
  <w:num w:numId="35">
    <w:abstractNumId w:val="20"/>
  </w:num>
  <w:num w:numId="36">
    <w:abstractNumId w:val="28"/>
  </w:num>
  <w:num w:numId="37">
    <w:abstractNumId w:val="26"/>
  </w:num>
  <w:num w:numId="38">
    <w:abstractNumId w:val="29"/>
  </w:num>
  <w:num w:numId="39">
    <w:abstractNumId w:val="29"/>
  </w:num>
  <w:num w:numId="40">
    <w:abstractNumId w:val="23"/>
  </w:num>
  <w:num w:numId="41">
    <w:abstractNumId w:val="9"/>
  </w:num>
  <w:num w:numId="42">
    <w:abstractNumId w:val="29"/>
  </w:num>
  <w:num w:numId="43">
    <w:abstractNumId w:val="29"/>
  </w:num>
  <w:num w:numId="44">
    <w:abstractNumId w:val="5"/>
  </w:num>
  <w:num w:numId="45">
    <w:abstractNumId w:val="6"/>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formatting="1" w:enforcement="0"/>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eastAsiaTheme="minorHAnsi" w:cstheme="minorBidi"/>
        <w:sz w:val="26"/>
        <w:szCs w:val="22"/>
        <w:lang w:val="ru-RU" w:eastAsia="en-US" w:bidi="ar-SA"/>
      </w:rPr>
    </w:rPrDefault>
    <w:pPrDefault>
      <w:pPr>
        <w:spacing w:before="120" w:beforeAutospacing="0" w:after="0" w:afterAutospacing="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901">
    <w:name w:val="Heading 1"/>
    <w:basedOn w:val="1063"/>
    <w:next w:val="1063"/>
    <w:link w:val="902"/>
    <w:uiPriority w:val="9"/>
    <w:qFormat/>
    <w:pPr>
      <w:keepLines/>
      <w:keepNext/>
      <w:spacing w:before="480" w:after="200"/>
      <w:outlineLvl w:val="0"/>
    </w:pPr>
    <w:rPr>
      <w:rFonts w:ascii="Arial" w:hAnsi="Arial" w:eastAsia="Arial" w:cs="Arial"/>
      <w:sz w:val="40"/>
      <w:szCs w:val="40"/>
    </w:rPr>
  </w:style>
  <w:style w:type="character" w:styleId="902">
    <w:name w:val="Heading 1 Char"/>
    <w:basedOn w:val="1064"/>
    <w:link w:val="901"/>
    <w:uiPriority w:val="9"/>
    <w:rPr>
      <w:rFonts w:ascii="Arial" w:hAnsi="Arial" w:eastAsia="Arial" w:cs="Arial"/>
      <w:sz w:val="40"/>
      <w:szCs w:val="40"/>
    </w:rPr>
  </w:style>
  <w:style w:type="paragraph" w:styleId="903">
    <w:name w:val="Heading 2"/>
    <w:basedOn w:val="1063"/>
    <w:next w:val="1063"/>
    <w:link w:val="904"/>
    <w:uiPriority w:val="9"/>
    <w:unhideWhenUsed/>
    <w:qFormat/>
    <w:pPr>
      <w:keepLines/>
      <w:keepNext/>
      <w:spacing w:before="360" w:after="200"/>
      <w:outlineLvl w:val="1"/>
    </w:pPr>
    <w:rPr>
      <w:rFonts w:ascii="Arial" w:hAnsi="Arial" w:eastAsia="Arial" w:cs="Arial"/>
      <w:sz w:val="34"/>
    </w:rPr>
  </w:style>
  <w:style w:type="character" w:styleId="904">
    <w:name w:val="Heading 2 Char"/>
    <w:basedOn w:val="1064"/>
    <w:link w:val="903"/>
    <w:uiPriority w:val="9"/>
    <w:rPr>
      <w:rFonts w:ascii="Arial" w:hAnsi="Arial" w:eastAsia="Arial" w:cs="Arial"/>
      <w:sz w:val="34"/>
    </w:rPr>
  </w:style>
  <w:style w:type="paragraph" w:styleId="905">
    <w:name w:val="Heading 3"/>
    <w:basedOn w:val="1063"/>
    <w:next w:val="1063"/>
    <w:link w:val="906"/>
    <w:uiPriority w:val="9"/>
    <w:unhideWhenUsed/>
    <w:qFormat/>
    <w:pPr>
      <w:keepLines/>
      <w:keepNext/>
      <w:spacing w:before="320" w:after="200"/>
      <w:outlineLvl w:val="2"/>
    </w:pPr>
    <w:rPr>
      <w:rFonts w:ascii="Arial" w:hAnsi="Arial" w:eastAsia="Arial" w:cs="Arial"/>
      <w:sz w:val="30"/>
      <w:szCs w:val="30"/>
    </w:rPr>
  </w:style>
  <w:style w:type="character" w:styleId="906">
    <w:name w:val="Heading 3 Char"/>
    <w:basedOn w:val="1064"/>
    <w:link w:val="905"/>
    <w:uiPriority w:val="9"/>
    <w:rPr>
      <w:rFonts w:ascii="Arial" w:hAnsi="Arial" w:eastAsia="Arial" w:cs="Arial"/>
      <w:sz w:val="30"/>
      <w:szCs w:val="30"/>
    </w:rPr>
  </w:style>
  <w:style w:type="paragraph" w:styleId="907">
    <w:name w:val="Heading 4"/>
    <w:basedOn w:val="1063"/>
    <w:next w:val="1063"/>
    <w:link w:val="908"/>
    <w:uiPriority w:val="9"/>
    <w:unhideWhenUsed/>
    <w:qFormat/>
    <w:pPr>
      <w:keepLines/>
      <w:keepNext/>
      <w:spacing w:before="320" w:after="200"/>
      <w:outlineLvl w:val="3"/>
    </w:pPr>
    <w:rPr>
      <w:rFonts w:ascii="Arial" w:hAnsi="Arial" w:eastAsia="Arial" w:cs="Arial"/>
      <w:b/>
      <w:bCs/>
      <w:sz w:val="26"/>
      <w:szCs w:val="26"/>
    </w:rPr>
  </w:style>
  <w:style w:type="character" w:styleId="908">
    <w:name w:val="Heading 4 Char"/>
    <w:basedOn w:val="1064"/>
    <w:link w:val="907"/>
    <w:uiPriority w:val="9"/>
    <w:rPr>
      <w:rFonts w:ascii="Arial" w:hAnsi="Arial" w:eastAsia="Arial" w:cs="Arial"/>
      <w:b/>
      <w:bCs/>
      <w:sz w:val="26"/>
      <w:szCs w:val="26"/>
    </w:rPr>
  </w:style>
  <w:style w:type="paragraph" w:styleId="909">
    <w:name w:val="Heading 5"/>
    <w:basedOn w:val="1063"/>
    <w:next w:val="1063"/>
    <w:link w:val="910"/>
    <w:uiPriority w:val="9"/>
    <w:unhideWhenUsed/>
    <w:qFormat/>
    <w:pPr>
      <w:keepLines/>
      <w:keepNext/>
      <w:spacing w:before="320" w:after="200"/>
      <w:outlineLvl w:val="4"/>
    </w:pPr>
    <w:rPr>
      <w:rFonts w:ascii="Arial" w:hAnsi="Arial" w:eastAsia="Arial" w:cs="Arial"/>
      <w:b/>
      <w:bCs/>
      <w:sz w:val="24"/>
      <w:szCs w:val="24"/>
    </w:rPr>
  </w:style>
  <w:style w:type="character" w:styleId="910">
    <w:name w:val="Heading 5 Char"/>
    <w:basedOn w:val="1064"/>
    <w:link w:val="909"/>
    <w:uiPriority w:val="9"/>
    <w:rPr>
      <w:rFonts w:ascii="Arial" w:hAnsi="Arial" w:eastAsia="Arial" w:cs="Arial"/>
      <w:b/>
      <w:bCs/>
      <w:sz w:val="24"/>
      <w:szCs w:val="24"/>
    </w:rPr>
  </w:style>
  <w:style w:type="paragraph" w:styleId="911">
    <w:name w:val="Heading 6"/>
    <w:basedOn w:val="1063"/>
    <w:next w:val="1063"/>
    <w:link w:val="912"/>
    <w:uiPriority w:val="9"/>
    <w:unhideWhenUsed/>
    <w:qFormat/>
    <w:pPr>
      <w:keepLines/>
      <w:keepNext/>
      <w:spacing w:before="320" w:after="200"/>
      <w:outlineLvl w:val="5"/>
    </w:pPr>
    <w:rPr>
      <w:rFonts w:ascii="Arial" w:hAnsi="Arial" w:eastAsia="Arial" w:cs="Arial"/>
      <w:b/>
      <w:bCs/>
      <w:sz w:val="22"/>
      <w:szCs w:val="22"/>
    </w:rPr>
  </w:style>
  <w:style w:type="character" w:styleId="912">
    <w:name w:val="Heading 6 Char"/>
    <w:basedOn w:val="1064"/>
    <w:link w:val="911"/>
    <w:uiPriority w:val="9"/>
    <w:rPr>
      <w:rFonts w:ascii="Arial" w:hAnsi="Arial" w:eastAsia="Arial" w:cs="Arial"/>
      <w:b/>
      <w:bCs/>
      <w:sz w:val="22"/>
      <w:szCs w:val="22"/>
    </w:rPr>
  </w:style>
  <w:style w:type="paragraph" w:styleId="913">
    <w:name w:val="Heading 7"/>
    <w:basedOn w:val="1063"/>
    <w:next w:val="1063"/>
    <w:link w:val="914"/>
    <w:uiPriority w:val="9"/>
    <w:unhideWhenUsed/>
    <w:qFormat/>
    <w:pPr>
      <w:keepLines/>
      <w:keepNext/>
      <w:spacing w:before="320" w:after="200"/>
      <w:outlineLvl w:val="6"/>
    </w:pPr>
    <w:rPr>
      <w:rFonts w:ascii="Arial" w:hAnsi="Arial" w:eastAsia="Arial" w:cs="Arial"/>
      <w:b/>
      <w:bCs/>
      <w:i/>
      <w:iCs/>
      <w:sz w:val="22"/>
      <w:szCs w:val="22"/>
    </w:rPr>
  </w:style>
  <w:style w:type="character" w:styleId="914">
    <w:name w:val="Heading 7 Char"/>
    <w:basedOn w:val="1064"/>
    <w:link w:val="913"/>
    <w:uiPriority w:val="9"/>
    <w:rPr>
      <w:rFonts w:ascii="Arial" w:hAnsi="Arial" w:eastAsia="Arial" w:cs="Arial"/>
      <w:b/>
      <w:bCs/>
      <w:i/>
      <w:iCs/>
      <w:sz w:val="22"/>
      <w:szCs w:val="22"/>
    </w:rPr>
  </w:style>
  <w:style w:type="paragraph" w:styleId="915">
    <w:name w:val="Heading 8"/>
    <w:basedOn w:val="1063"/>
    <w:next w:val="1063"/>
    <w:link w:val="916"/>
    <w:uiPriority w:val="9"/>
    <w:unhideWhenUsed/>
    <w:qFormat/>
    <w:pPr>
      <w:keepLines/>
      <w:keepNext/>
      <w:spacing w:before="320" w:after="200"/>
      <w:outlineLvl w:val="7"/>
    </w:pPr>
    <w:rPr>
      <w:rFonts w:ascii="Arial" w:hAnsi="Arial" w:eastAsia="Arial" w:cs="Arial"/>
      <w:i/>
      <w:iCs/>
      <w:sz w:val="22"/>
      <w:szCs w:val="22"/>
    </w:rPr>
  </w:style>
  <w:style w:type="character" w:styleId="916">
    <w:name w:val="Heading 8 Char"/>
    <w:basedOn w:val="1064"/>
    <w:link w:val="915"/>
    <w:uiPriority w:val="9"/>
    <w:rPr>
      <w:rFonts w:ascii="Arial" w:hAnsi="Arial" w:eastAsia="Arial" w:cs="Arial"/>
      <w:i/>
      <w:iCs/>
      <w:sz w:val="22"/>
      <w:szCs w:val="22"/>
    </w:rPr>
  </w:style>
  <w:style w:type="paragraph" w:styleId="917">
    <w:name w:val="Heading 9"/>
    <w:basedOn w:val="1063"/>
    <w:next w:val="1063"/>
    <w:link w:val="918"/>
    <w:uiPriority w:val="9"/>
    <w:unhideWhenUsed/>
    <w:qFormat/>
    <w:pPr>
      <w:keepLines/>
      <w:keepNext/>
      <w:spacing w:before="320" w:after="200"/>
      <w:outlineLvl w:val="8"/>
    </w:pPr>
    <w:rPr>
      <w:rFonts w:ascii="Arial" w:hAnsi="Arial" w:eastAsia="Arial" w:cs="Arial"/>
      <w:i/>
      <w:iCs/>
      <w:sz w:val="21"/>
      <w:szCs w:val="21"/>
    </w:rPr>
  </w:style>
  <w:style w:type="character" w:styleId="918">
    <w:name w:val="Heading 9 Char"/>
    <w:basedOn w:val="1064"/>
    <w:link w:val="917"/>
    <w:uiPriority w:val="9"/>
    <w:rPr>
      <w:rFonts w:ascii="Arial" w:hAnsi="Arial" w:eastAsia="Arial" w:cs="Arial"/>
      <w:i/>
      <w:iCs/>
      <w:sz w:val="21"/>
      <w:szCs w:val="21"/>
    </w:rPr>
  </w:style>
  <w:style w:type="paragraph" w:styleId="919">
    <w:name w:val="No Spacing"/>
    <w:uiPriority w:val="1"/>
    <w:qFormat/>
    <w:pPr>
      <w:spacing w:before="0" w:after="0" w:line="240" w:lineRule="auto"/>
    </w:pPr>
  </w:style>
  <w:style w:type="paragraph" w:styleId="920">
    <w:name w:val="Title"/>
    <w:basedOn w:val="1063"/>
    <w:next w:val="1063"/>
    <w:link w:val="921"/>
    <w:uiPriority w:val="10"/>
    <w:qFormat/>
    <w:pPr>
      <w:contextualSpacing/>
      <w:spacing w:before="300" w:after="200"/>
    </w:pPr>
    <w:rPr>
      <w:sz w:val="48"/>
      <w:szCs w:val="48"/>
    </w:rPr>
  </w:style>
  <w:style w:type="character" w:styleId="921">
    <w:name w:val="Title Char"/>
    <w:basedOn w:val="1064"/>
    <w:link w:val="920"/>
    <w:uiPriority w:val="10"/>
    <w:rPr>
      <w:sz w:val="48"/>
      <w:szCs w:val="48"/>
    </w:rPr>
  </w:style>
  <w:style w:type="paragraph" w:styleId="922">
    <w:name w:val="Subtitle"/>
    <w:basedOn w:val="1063"/>
    <w:next w:val="1063"/>
    <w:link w:val="923"/>
    <w:uiPriority w:val="11"/>
    <w:qFormat/>
    <w:pPr>
      <w:spacing w:before="200" w:after="200"/>
    </w:pPr>
    <w:rPr>
      <w:sz w:val="24"/>
      <w:szCs w:val="24"/>
    </w:rPr>
  </w:style>
  <w:style w:type="character" w:styleId="923">
    <w:name w:val="Subtitle Char"/>
    <w:basedOn w:val="1064"/>
    <w:link w:val="922"/>
    <w:uiPriority w:val="11"/>
    <w:rPr>
      <w:sz w:val="24"/>
      <w:szCs w:val="24"/>
    </w:rPr>
  </w:style>
  <w:style w:type="paragraph" w:styleId="924">
    <w:name w:val="Quote"/>
    <w:basedOn w:val="1063"/>
    <w:next w:val="1063"/>
    <w:link w:val="925"/>
    <w:uiPriority w:val="29"/>
    <w:qFormat/>
    <w:pPr>
      <w:ind w:left="720" w:right="720"/>
    </w:pPr>
    <w:rPr>
      <w:i/>
    </w:rPr>
  </w:style>
  <w:style w:type="character" w:styleId="925">
    <w:name w:val="Quote Char"/>
    <w:link w:val="924"/>
    <w:uiPriority w:val="29"/>
    <w:rPr>
      <w:i/>
    </w:rPr>
  </w:style>
  <w:style w:type="paragraph" w:styleId="926">
    <w:name w:val="Intense Quote"/>
    <w:basedOn w:val="1063"/>
    <w:next w:val="1063"/>
    <w:link w:val="927"/>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927">
    <w:name w:val="Intense Quote Char"/>
    <w:link w:val="926"/>
    <w:uiPriority w:val="30"/>
    <w:rPr>
      <w:i/>
    </w:rPr>
  </w:style>
  <w:style w:type="character" w:styleId="928">
    <w:name w:val="Header Char"/>
    <w:basedOn w:val="1064"/>
    <w:link w:val="1074"/>
    <w:uiPriority w:val="99"/>
  </w:style>
  <w:style w:type="character" w:styleId="929">
    <w:name w:val="Footer Char"/>
    <w:basedOn w:val="1064"/>
    <w:link w:val="1076"/>
    <w:uiPriority w:val="99"/>
  </w:style>
  <w:style w:type="paragraph" w:styleId="930">
    <w:name w:val="Caption"/>
    <w:basedOn w:val="1063"/>
    <w:next w:val="1063"/>
    <w:link w:val="931"/>
    <w:uiPriority w:val="35"/>
    <w:semiHidden/>
    <w:unhideWhenUsed/>
    <w:qFormat/>
    <w:pPr>
      <w:spacing w:line="276" w:lineRule="auto"/>
    </w:pPr>
    <w:rPr>
      <w:b/>
      <w:bCs/>
      <w:color w:val="4f81bd" w:themeColor="accent1"/>
      <w:sz w:val="18"/>
      <w:szCs w:val="18"/>
    </w:rPr>
  </w:style>
  <w:style w:type="character" w:styleId="931">
    <w:name w:val="Caption Char"/>
    <w:basedOn w:val="1064"/>
    <w:link w:val="930"/>
    <w:uiPriority w:val="35"/>
    <w:rPr>
      <w:b/>
      <w:bCs/>
      <w:color w:val="4f81bd" w:themeColor="accent1"/>
      <w:sz w:val="18"/>
      <w:szCs w:val="18"/>
    </w:rPr>
  </w:style>
  <w:style w:type="table" w:styleId="932">
    <w:name w:val="Table Grid Light"/>
    <w:basedOn w:val="1065"/>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933">
    <w:name w:val="Plain Table 1"/>
    <w:basedOn w:val="1065"/>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934">
    <w:name w:val="Plain Table 2"/>
    <w:basedOn w:val="1065"/>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935">
    <w:name w:val="Plain Table 3"/>
    <w:basedOn w:val="106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936">
    <w:name w:val="Plain Table 4"/>
    <w:basedOn w:val="106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937">
    <w:name w:val="Plain Table 5"/>
    <w:basedOn w:val="106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938">
    <w:name w:val="Grid Table 1 Light"/>
    <w:basedOn w:val="1065"/>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939">
    <w:name w:val="Grid Table 1 Light - Accent 1"/>
    <w:basedOn w:val="1065"/>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940">
    <w:name w:val="Grid Table 1 Light - Accent 2"/>
    <w:basedOn w:val="1065"/>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941">
    <w:name w:val="Grid Table 1 Light - Accent 3"/>
    <w:basedOn w:val="1065"/>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942">
    <w:name w:val="Grid Table 1 Light - Accent 4"/>
    <w:basedOn w:val="1065"/>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943">
    <w:name w:val="Grid Table 1 Light - Accent 5"/>
    <w:basedOn w:val="106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944">
    <w:name w:val="Grid Table 1 Light - Accent 6"/>
    <w:basedOn w:val="1065"/>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945">
    <w:name w:val="Grid Table 2"/>
    <w:basedOn w:val="1065"/>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946">
    <w:name w:val="Grid Table 2 - Accent 1"/>
    <w:basedOn w:val="1065"/>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947">
    <w:name w:val="Grid Table 2 - Accent 2"/>
    <w:basedOn w:val="1065"/>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948">
    <w:name w:val="Grid Table 2 - Accent 3"/>
    <w:basedOn w:val="1065"/>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949">
    <w:name w:val="Grid Table 2 - Accent 4"/>
    <w:basedOn w:val="1065"/>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950">
    <w:name w:val="Grid Table 2 - Accent 5"/>
    <w:basedOn w:val="106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951">
    <w:name w:val="Grid Table 2 - Accent 6"/>
    <w:basedOn w:val="1065"/>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952">
    <w:name w:val="Grid Table 3"/>
    <w:basedOn w:val="1065"/>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53">
    <w:name w:val="Grid Table 3 - Accent 1"/>
    <w:basedOn w:val="1065"/>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54">
    <w:name w:val="Grid Table 3 - Accent 2"/>
    <w:basedOn w:val="1065"/>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55">
    <w:name w:val="Grid Table 3 - Accent 3"/>
    <w:basedOn w:val="1065"/>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56">
    <w:name w:val="Grid Table 3 - Accent 4"/>
    <w:basedOn w:val="1065"/>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57">
    <w:name w:val="Grid Table 3 - Accent 5"/>
    <w:basedOn w:val="106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58">
    <w:name w:val="Grid Table 3 - Accent 6"/>
    <w:basedOn w:val="1065"/>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59">
    <w:name w:val="Grid Table 4"/>
    <w:basedOn w:val="1065"/>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960">
    <w:name w:val="Grid Table 4 - Accent 1"/>
    <w:basedOn w:val="1065"/>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ae3f3" w:themeFill="accent1" w:themeFillTint="32"/>
      </w:tcPr>
    </w:tblStylePr>
    <w:tblStylePr w:type="band1Vert">
      <w:rPr>
        <w:rFonts w:ascii="Arial" w:hAnsi="Arial"/>
        <w:color w:val="404040"/>
        <w:sz w:val="22"/>
      </w:rPr>
      <w:tcPr>
        <w:shd w:val="clear" w:color="ffffff" w:themeColor="accent1" w:themeTint="32" w:fill="dae3f3"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37fc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961">
    <w:name w:val="Grid Table 4 - Accent 2"/>
    <w:basedOn w:val="1065"/>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962">
    <w:name w:val="Grid Table 4 - Accent 3"/>
    <w:basedOn w:val="1065"/>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963">
    <w:name w:val="Grid Table 4 - Accent 4"/>
    <w:basedOn w:val="1065"/>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964">
    <w:name w:val="Grid Table 4 - Accent 5"/>
    <w:basedOn w:val="106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965">
    <w:name w:val="Grid Table 4 - Accent 6"/>
    <w:basedOn w:val="1065"/>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966">
    <w:name w:val="Grid Table 5 Dark"/>
    <w:basedOn w:val="106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967">
    <w:name w:val="Grid Table 5 Dark- Accent 1"/>
    <w:basedOn w:val="106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2" w:themeFill="accent1" w:themeFillTint="34"/>
    </w:tblPr>
    <w:tblStylePr w:type="band1Horz">
      <w:tcPr>
        <w:shd w:val="clear" w:color="ffffff" w:themeColor="accent1" w:themeTint="75" w:fill="aabfe3" w:themeFill="accent1" w:themeFillTint="75"/>
      </w:tcPr>
    </w:tblStylePr>
    <w:tblStylePr w:type="band1Vert">
      <w:tcPr>
        <w:shd w:val="clear" w:color="ffffff" w:themeColor="accent1" w:themeTint="75" w:fill="aabfe3" w:themeFill="accent1" w:themeFillTint="75"/>
      </w:tcPr>
    </w:tblStylePr>
    <w:tblStylePr w:type="firstCol">
      <w:rPr>
        <w:rFonts w:ascii="Arial" w:hAnsi="Arial"/>
        <w:b/>
        <w:color w:val="ffffff"/>
        <w:sz w:val="22"/>
      </w:rPr>
      <w:tcPr>
        <w:shd w:val="clear" w:color="ffffff" w:themeColor="accent1" w:fill="4472c4" w:themeFill="accent1"/>
      </w:tcPr>
    </w:tblStylePr>
    <w:tblStylePr w:type="firstRow">
      <w:rPr>
        <w:rFonts w:ascii="Arial" w:hAnsi="Arial"/>
        <w:b/>
        <w:color w:val="ffffff"/>
        <w:sz w:val="22"/>
      </w:rPr>
      <w:tcPr>
        <w:shd w:val="clear" w:color="ffffff" w:themeColor="accent1" w:fill="4472c4" w:themeFill="accent1"/>
      </w:tcPr>
    </w:tblStylePr>
    <w:tblStylePr w:type="lastCol">
      <w:rPr>
        <w:rFonts w:ascii="Arial" w:hAnsi="Arial"/>
        <w:b/>
        <w:color w:val="ffffff"/>
        <w:sz w:val="22"/>
      </w:rPr>
      <w:tcPr>
        <w:shd w:val="clear" w:color="ffffff" w:themeColor="accent1" w:fill="4472c4" w:themeFill="accent1"/>
      </w:tcPr>
    </w:tblStylePr>
    <w:tblStylePr w:type="lastRow">
      <w:rPr>
        <w:rFonts w:ascii="Arial" w:hAnsi="Arial"/>
        <w:b/>
        <w:color w:val="ffffff"/>
        <w:sz w:val="22"/>
      </w:rPr>
      <w:tcPr>
        <w:shd w:val="clear" w:color="ffffff" w:themeColor="accent1" w:fill="4472c4" w:themeFill="accent1"/>
        <w:tcBorders>
          <w:top w:val="single" w:color="000000" w:themeColor="light1" w:sz="4" w:space="0"/>
        </w:tcBorders>
      </w:tcPr>
    </w:tblStylePr>
  </w:style>
  <w:style w:type="table" w:styleId="968">
    <w:name w:val="Grid Table 5 Dark - Accent 2"/>
    <w:basedOn w:val="106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969">
    <w:name w:val="Grid Table 5 Dark - Accent 3"/>
    <w:basedOn w:val="106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970">
    <w:name w:val="Grid Table 5 Dark- Accent 4"/>
    <w:basedOn w:val="106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971">
    <w:name w:val="Grid Table 5 Dark - Accent 5"/>
    <w:basedOn w:val="106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debf6" w:themeFill="accent5" w:themeFillTint="34"/>
    </w:tblPr>
    <w:tblStylePr w:type="band1Horz">
      <w:tcPr>
        <w:shd w:val="clear" w:color="ffffff" w:themeColor="accent5" w:themeTint="75" w:fill="b4d2eb" w:themeFill="accent5" w:themeFillTint="75"/>
      </w:tcPr>
    </w:tblStylePr>
    <w:tblStylePr w:type="band1Vert">
      <w:tcPr>
        <w:shd w:val="clear" w:color="ffffff" w:themeColor="accent5" w:themeTint="75" w:fill="b4d2eb" w:themeFill="accent5" w:themeFillTint="75"/>
      </w:tcPr>
    </w:tblStylePr>
    <w:tblStylePr w:type="firstCol">
      <w:rPr>
        <w:rFonts w:ascii="Arial" w:hAnsi="Arial"/>
        <w:b/>
        <w:color w:val="ffffff"/>
        <w:sz w:val="22"/>
      </w:rPr>
      <w:tcPr>
        <w:shd w:val="clear" w:color="ffffff" w:themeColor="accent5" w:fill="5b9bd5" w:themeFill="accent5"/>
      </w:tcPr>
    </w:tblStylePr>
    <w:tblStylePr w:type="firstRow">
      <w:rPr>
        <w:rFonts w:ascii="Arial" w:hAnsi="Arial"/>
        <w:b/>
        <w:color w:val="ffffff"/>
        <w:sz w:val="22"/>
      </w:rPr>
      <w:tcPr>
        <w:shd w:val="clear" w:color="ffffff" w:themeColor="accent5" w:fill="5b9bd5" w:themeFill="accent5"/>
      </w:tcPr>
    </w:tblStylePr>
    <w:tblStylePr w:type="lastCol">
      <w:rPr>
        <w:rFonts w:ascii="Arial" w:hAnsi="Arial"/>
        <w:b/>
        <w:color w:val="ffffff"/>
        <w:sz w:val="22"/>
      </w:rPr>
      <w:tcPr>
        <w:shd w:val="clear" w:color="ffffff" w:themeColor="accent5" w:fill="5b9bd5" w:themeFill="accent5"/>
      </w:tcPr>
    </w:tblStylePr>
    <w:tblStylePr w:type="lastRow">
      <w:rPr>
        <w:rFonts w:ascii="Arial" w:hAnsi="Arial"/>
        <w:b/>
        <w:color w:val="ffffff"/>
        <w:sz w:val="22"/>
      </w:rPr>
      <w:tcPr>
        <w:shd w:val="clear" w:color="ffffff" w:themeColor="accent5" w:fill="5b9bd5" w:themeFill="accent5"/>
        <w:tcBorders>
          <w:top w:val="single" w:color="000000" w:themeColor="light1" w:sz="4" w:space="0"/>
        </w:tcBorders>
      </w:tcPr>
    </w:tblStylePr>
  </w:style>
  <w:style w:type="table" w:styleId="972">
    <w:name w:val="Grid Table 5 Dark - Accent 6"/>
    <w:basedOn w:val="106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973">
    <w:name w:val="Grid Table 6 Colorful"/>
    <w:basedOn w:val="1065"/>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974">
    <w:name w:val="Grid Table 6 Colorful - Accent 1"/>
    <w:basedOn w:val="1065"/>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404040" w:themeColor="accent1" w:themeTint="80" w:themeShade="95"/>
        <w:sz w:val="22"/>
      </w:rPr>
    </w:tblStylePr>
    <w:tblStylePr w:type="firstCol">
      <w:rPr>
        <w:b/>
        <w:color w:val="3664a9" w:themeColor="accent1" w:themeTint="80" w:themeShade="95"/>
      </w:rPr>
    </w:tblStylePr>
    <w:tblStylePr w:type="firstRow">
      <w:rPr>
        <w:b/>
        <w:color w:val="3664a9" w:themeColor="accent1" w:themeTint="80" w:themeShade="95"/>
      </w:rPr>
      <w:tcPr>
        <w:tcBorders>
          <w:bottom w:val="single" w:color="000000" w:themeColor="accent1" w:themeTint="80" w:sz="12" w:space="0"/>
        </w:tcBorders>
      </w:tcPr>
    </w:tblStylePr>
    <w:tblStylePr w:type="lastCol">
      <w:rPr>
        <w:b/>
        <w:color w:val="3664a9" w:themeColor="accent1" w:themeTint="80" w:themeShade="95"/>
      </w:rPr>
    </w:tblStylePr>
    <w:tblStylePr w:type="lastRow">
      <w:rPr>
        <w:b/>
        <w:color w:val="3664a9" w:themeColor="accent1" w:themeTint="80" w:themeShade="95"/>
      </w:rPr>
    </w:tblStylePr>
    <w:tblStylePr w:type="wholeTable">
      <w:rPr>
        <w:rFonts w:ascii="Arial" w:hAnsi="Arial"/>
        <w:color w:val="404040" w:themeColor="accent1" w:themeTint="80" w:themeShade="95"/>
        <w:sz w:val="22"/>
      </w:rPr>
    </w:tblStylePr>
  </w:style>
  <w:style w:type="table" w:styleId="975">
    <w:name w:val="Grid Table 6 Colorful - Accent 2"/>
    <w:basedOn w:val="1065"/>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976">
    <w:name w:val="Grid Table 6 Colorful - Accent 3"/>
    <w:basedOn w:val="1065"/>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977">
    <w:name w:val="Grid Table 6 Colorful - Accent 4"/>
    <w:basedOn w:val="1065"/>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978">
    <w:name w:val="Grid Table 6 Colorful - Accent 5"/>
    <w:basedOn w:val="106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5"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979">
    <w:name w:val="Grid Table 6 Colorful - Accent 6"/>
    <w:basedOn w:val="1065"/>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6"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980">
    <w:name w:val="Grid Table 7 Colorful"/>
    <w:basedOn w:val="1065"/>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981">
    <w:name w:val="Grid Table 7 Colorful - Accent 1"/>
    <w:basedOn w:val="1065"/>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664a9"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3664a9" w:themeColor="accent1" w:themeTint="80" w:themeShade="95"/>
        <w:sz w:val="22"/>
      </w:rPr>
    </w:tblStylePr>
    <w:tblStylePr w:type="firstCol">
      <w:rPr>
        <w:rFonts w:ascii="Arial" w:hAnsi="Arial"/>
        <w:i/>
        <w:color w:val="3664a9"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664a9"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664a9"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664a9"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982">
    <w:name w:val="Grid Table 7 Colorful - Accent 2"/>
    <w:basedOn w:val="1065"/>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983">
    <w:name w:val="Grid Table 7 Colorful - Accent 3"/>
    <w:basedOn w:val="1065"/>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984">
    <w:name w:val="Grid Table 7 Colorful - Accent 4"/>
    <w:basedOn w:val="1065"/>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985">
    <w:name w:val="Grid Table 7 Colorful - Accent 5"/>
    <w:basedOn w:val="106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45d8d"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245d8d" w:themeColor="accent5" w:themeShade="95"/>
        <w:sz w:val="22"/>
      </w:rPr>
    </w:tblStylePr>
    <w:tblStylePr w:type="firstCol">
      <w:rPr>
        <w:rFonts w:ascii="Arial" w:hAnsi="Arial"/>
        <w:i/>
        <w:color w:val="245d8d"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d8d"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d8d"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d8d"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986">
    <w:name w:val="Grid Table 7 Colorful - Accent 6"/>
    <w:basedOn w:val="1065"/>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987">
    <w:name w:val="List Table 1 Light"/>
    <w:basedOn w:val="1065"/>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988">
    <w:name w:val="List Table 1 Light - Accent 1"/>
    <w:basedOn w:val="1065"/>
    <w:uiPriority w:val="99"/>
    <w:pPr>
      <w:spacing w:after="0" w:line="240" w:lineRule="auto"/>
    </w:pPr>
    <w:tblPr>
      <w:tblStyleRowBandSize w:val="1"/>
      <w:tblStyleColBandSize w:val="1"/>
      <w:tblInd w:w="0" w:type="dxa"/>
    </w:tblPr>
    <w:tblStylePr w:type="band1Horz">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989">
    <w:name w:val="List Table 1 Light - Accent 2"/>
    <w:basedOn w:val="1065"/>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990">
    <w:name w:val="List Table 1 Light - Accent 3"/>
    <w:basedOn w:val="1065"/>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991">
    <w:name w:val="List Table 1 Light - Accent 4"/>
    <w:basedOn w:val="1065"/>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992">
    <w:name w:val="List Table 1 Light - Accent 5"/>
    <w:basedOn w:val="1065"/>
    <w:uiPriority w:val="99"/>
    <w:pPr>
      <w:spacing w:after="0" w:line="240" w:lineRule="auto"/>
    </w:pPr>
    <w:tblPr>
      <w:tblStyleRowBandSize w:val="1"/>
      <w:tblStyleColBandSize w:val="1"/>
      <w:tblInd w:w="0" w:type="dxa"/>
    </w:tblPr>
    <w:tblStylePr w:type="band1Horz">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993">
    <w:name w:val="List Table 1 Light - Accent 6"/>
    <w:basedOn w:val="1065"/>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994">
    <w:name w:val="List Table 2"/>
    <w:basedOn w:val="1065"/>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995">
    <w:name w:val="List Table 2 - Accent 1"/>
    <w:basedOn w:val="1065"/>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996">
    <w:name w:val="List Table 2 - Accent 2"/>
    <w:basedOn w:val="1065"/>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997">
    <w:name w:val="List Table 2 - Accent 3"/>
    <w:basedOn w:val="1065"/>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998">
    <w:name w:val="List Table 2 - Accent 4"/>
    <w:basedOn w:val="1065"/>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999">
    <w:name w:val="List Table 2 - Accent 5"/>
    <w:basedOn w:val="106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000">
    <w:name w:val="List Table 2 - Accent 6"/>
    <w:basedOn w:val="1065"/>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001">
    <w:name w:val="List Table 3"/>
    <w:basedOn w:val="1065"/>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002">
    <w:name w:val="List Table 3 - Accent 1"/>
    <w:basedOn w:val="1065"/>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003">
    <w:name w:val="List Table 3 - Accent 2"/>
    <w:basedOn w:val="1065"/>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1004">
    <w:name w:val="List Table 3 - Accent 3"/>
    <w:basedOn w:val="1065"/>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1005">
    <w:name w:val="List Table 3 - Accent 4"/>
    <w:basedOn w:val="1065"/>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1006">
    <w:name w:val="List Table 3 - Accent 5"/>
    <w:basedOn w:val="106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cc4e5" w:themeFill="accent5" w:themeFillTint="9A"/>
      </w:tcPr>
    </w:tblStylePr>
    <w:tblStylePr w:type="lastCol">
      <w:rPr>
        <w:b/>
        <w:color w:val="404040"/>
      </w:rPr>
    </w:tblStylePr>
    <w:tblStylePr w:type="lastRow">
      <w:rPr>
        <w:b/>
        <w:color w:val="404040"/>
      </w:rPr>
    </w:tblStylePr>
  </w:style>
  <w:style w:type="table" w:styleId="1007">
    <w:name w:val="List Table 3 - Accent 6"/>
    <w:basedOn w:val="1065"/>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1008">
    <w:name w:val="List Table 4"/>
    <w:basedOn w:val="1065"/>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009">
    <w:name w:val="List Table 4 - Accent 1"/>
    <w:basedOn w:val="1065"/>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010">
    <w:name w:val="List Table 4 - Accent 2"/>
    <w:basedOn w:val="1065"/>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1011">
    <w:name w:val="List Table 4 - Accent 3"/>
    <w:basedOn w:val="1065"/>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1012">
    <w:name w:val="List Table 4 - Accent 4"/>
    <w:basedOn w:val="1065"/>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1013">
    <w:name w:val="List Table 4 - Accent 5"/>
    <w:basedOn w:val="106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5b9bd5" w:themeFill="accent5"/>
      </w:tcPr>
    </w:tblStylePr>
    <w:tblStylePr w:type="lastCol">
      <w:rPr>
        <w:b/>
        <w:color w:val="404040"/>
      </w:rPr>
    </w:tblStylePr>
    <w:tblStylePr w:type="lastRow">
      <w:rPr>
        <w:b/>
        <w:color w:val="404040"/>
      </w:rPr>
    </w:tblStylePr>
  </w:style>
  <w:style w:type="table" w:styleId="1014">
    <w:name w:val="List Table 4 - Accent 6"/>
    <w:basedOn w:val="1065"/>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1015">
    <w:name w:val="List Table 5 Dark"/>
    <w:basedOn w:val="1065"/>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16">
    <w:name w:val="List Table 5 Dark - Accent 1"/>
    <w:basedOn w:val="1065"/>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blStylePr w:type="band1Horz">
      <w:tcPr>
        <w:shd w:val="clear" w:color="ffffff" w:themeColor="accent1" w:fill="4472c4" w:themeFill="accent1"/>
        <w:tcBorders>
          <w:top w:val="single" w:color="000000" w:themeColor="light1" w:sz="4" w:space="0"/>
          <w:bottom w:val="single" w:color="000000" w:themeColor="light1" w:sz="4" w:space="0"/>
        </w:tcBorders>
      </w:tcPr>
    </w:tblStylePr>
    <w:tblStylePr w:type="band1Vert">
      <w:tcPr>
        <w:shd w:val="clear" w:color="ffffff" w:themeColor="accent1" w:fill="4472c4" w:themeFill="accent1"/>
        <w:tcBorders>
          <w:left w:val="single" w:color="000000" w:themeColor="light1" w:sz="4" w:space="0"/>
          <w:right w:val="single" w:color="000000" w:themeColor="light1" w:sz="4" w:space="0"/>
        </w:tcBorders>
      </w:tcPr>
    </w:tblStylePr>
    <w:tblStylePr w:type="band2Horz">
      <w:tcPr>
        <w:shd w:val="clear" w:color="ffffff" w:themeColor="accent1" w:fill="4472c4"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472c4"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17">
    <w:name w:val="List Table 5 Dark - Accent 2"/>
    <w:basedOn w:val="1065"/>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18">
    <w:name w:val="List Table 5 Dark - Accent 3"/>
    <w:basedOn w:val="1065"/>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19">
    <w:name w:val="List Table 5 Dark - Accent 4"/>
    <w:basedOn w:val="1065"/>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20">
    <w:name w:val="List Table 5 Dark - Accent 5"/>
    <w:basedOn w:val="106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4e5" w:themeFill="accent5" w:themeFillTint="9A"/>
    </w:tblPr>
    <w:tblStylePr w:type="band1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cc4e5"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cc4e5"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21">
    <w:name w:val="List Table 5 Dark - Accent 6"/>
    <w:basedOn w:val="1065"/>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22">
    <w:name w:val="List Table 6 Colorful"/>
    <w:basedOn w:val="1065"/>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023">
    <w:name w:val="List Table 6 Colorful - Accent 1"/>
    <w:basedOn w:val="1065"/>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404040" w:themeColor="accent1" w:themeShade="95"/>
        <w:sz w:val="22"/>
      </w:rPr>
    </w:tblStylePr>
    <w:tblStylePr w:type="firstCol">
      <w:rPr>
        <w:b/>
        <w:color w:val="254374" w:themeColor="accent1" w:themeShade="95"/>
      </w:rPr>
    </w:tblStylePr>
    <w:tblStylePr w:type="firstRow">
      <w:rPr>
        <w:b/>
        <w:color w:val="254374" w:themeColor="accent1" w:themeShade="95"/>
      </w:rPr>
      <w:tcPr>
        <w:tcBorders>
          <w:bottom w:val="single" w:color="000000" w:themeColor="accent1" w:sz="4" w:space="0"/>
        </w:tcBorders>
      </w:tcPr>
    </w:tblStylePr>
    <w:tblStylePr w:type="lastCol">
      <w:rPr>
        <w:b/>
        <w:color w:val="254374" w:themeColor="accent1" w:themeShade="95"/>
      </w:rPr>
    </w:tblStylePr>
    <w:tblStylePr w:type="lastRow">
      <w:rPr>
        <w:b/>
        <w:color w:val="254374" w:themeColor="accent1" w:themeShade="95"/>
      </w:rPr>
      <w:tcPr>
        <w:tcBorders>
          <w:top w:val="single" w:color="000000" w:themeColor="accent1" w:sz="4" w:space="0"/>
        </w:tcBorders>
      </w:tcPr>
    </w:tblStylePr>
  </w:style>
  <w:style w:type="table" w:styleId="1024">
    <w:name w:val="List Table 6 Colorful - Accent 2"/>
    <w:basedOn w:val="1065"/>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1025">
    <w:name w:val="List Table 6 Colorful - Accent 3"/>
    <w:basedOn w:val="1065"/>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1026">
    <w:name w:val="List Table 6 Colorful - Accent 4"/>
    <w:basedOn w:val="1065"/>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1027">
    <w:name w:val="List Table 6 Colorful - Accent 5"/>
    <w:basedOn w:val="106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404040" w:themeColor="accent5" w:themeTint="9A" w:themeShade="95"/>
        <w:sz w:val="22"/>
      </w:rPr>
    </w:tblStylePr>
    <w:tblStylePr w:type="firstCol">
      <w:rPr>
        <w:b/>
        <w:color w:val="2e78b1" w:themeColor="accent5" w:themeTint="9A" w:themeShade="95"/>
      </w:rPr>
    </w:tblStylePr>
    <w:tblStylePr w:type="firstRow">
      <w:rPr>
        <w:b/>
        <w:color w:val="2e78b1" w:themeColor="accent5" w:themeTint="9A" w:themeShade="95"/>
      </w:rPr>
      <w:tcPr>
        <w:tcBorders>
          <w:bottom w:val="single" w:color="000000" w:themeColor="accent5" w:themeTint="9A" w:sz="4" w:space="0"/>
        </w:tcBorders>
      </w:tcPr>
    </w:tblStylePr>
    <w:tblStylePr w:type="lastCol">
      <w:rPr>
        <w:b/>
        <w:color w:val="2e78b1" w:themeColor="accent5" w:themeTint="9A" w:themeShade="95"/>
      </w:rPr>
    </w:tblStylePr>
    <w:tblStylePr w:type="lastRow">
      <w:rPr>
        <w:b/>
        <w:color w:val="2e78b1" w:themeColor="accent5" w:themeTint="9A" w:themeShade="95"/>
      </w:rPr>
      <w:tcPr>
        <w:tcBorders>
          <w:top w:val="single" w:color="000000" w:themeColor="accent5" w:themeTint="9A" w:sz="4" w:space="0"/>
        </w:tcBorders>
      </w:tcPr>
    </w:tblStylePr>
  </w:style>
  <w:style w:type="table" w:styleId="1028">
    <w:name w:val="List Table 6 Colorful - Accent 6"/>
    <w:basedOn w:val="1065"/>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1029">
    <w:name w:val="List Table 7 Colorful"/>
    <w:basedOn w:val="1065"/>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1030">
    <w:name w:val="List Table 7 Colorful - Accent 1"/>
    <w:basedOn w:val="1065"/>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54374"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254374" w:themeColor="accent1" w:themeShade="95"/>
        <w:sz w:val="22"/>
      </w:rPr>
    </w:tblStylePr>
    <w:tblStylePr w:type="firstCol">
      <w:rPr>
        <w:rFonts w:ascii="Arial" w:hAnsi="Arial"/>
        <w:i/>
        <w:color w:val="254374"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374"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374"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374"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54374" w:themeColor="accent1" w:themeShade="95"/>
        <w:sz w:val="22"/>
      </w:rPr>
    </w:tblStylePr>
  </w:style>
  <w:style w:type="table" w:styleId="1031">
    <w:name w:val="List Table 7 Colorful - Accent 2"/>
    <w:basedOn w:val="1065"/>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c95712" w:themeColor="accent2" w:themeTint="97" w:themeShade="95"/>
        <w:sz w:val="22"/>
      </w:rPr>
    </w:tblStylePr>
  </w:style>
  <w:style w:type="table" w:styleId="1032">
    <w:name w:val="List Table 7 Colorful - Accent 3"/>
    <w:basedOn w:val="1065"/>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57575" w:themeColor="accent3" w:themeTint="98" w:themeShade="95"/>
        <w:sz w:val="22"/>
      </w:rPr>
    </w:tblStylePr>
  </w:style>
  <w:style w:type="table" w:styleId="1033">
    <w:name w:val="List Table 7 Colorful - Accent 4"/>
    <w:basedOn w:val="1065"/>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cd9600" w:themeColor="accent4" w:themeTint="9A" w:themeShade="95"/>
        <w:sz w:val="22"/>
      </w:rPr>
    </w:tblStylePr>
  </w:style>
  <w:style w:type="table" w:styleId="1034">
    <w:name w:val="List Table 7 Colorful - Accent 5"/>
    <w:basedOn w:val="106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2e78b1"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2e78b1" w:themeColor="accent5" w:themeTint="9A" w:themeShade="95"/>
        <w:sz w:val="22"/>
      </w:rPr>
    </w:tblStylePr>
    <w:tblStylePr w:type="firstCol">
      <w:rPr>
        <w:rFonts w:ascii="Arial" w:hAnsi="Arial"/>
        <w:i/>
        <w:color w:val="2e78b1"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e78b1"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e78b1"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e78b1"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2e78b1" w:themeColor="accent5" w:themeTint="9A" w:themeShade="95"/>
        <w:sz w:val="22"/>
      </w:rPr>
    </w:tblStylePr>
  </w:style>
  <w:style w:type="table" w:styleId="1035">
    <w:name w:val="List Table 7 Colorful - Accent 6"/>
    <w:basedOn w:val="1065"/>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5f8f3c" w:themeColor="accent6" w:themeTint="98" w:themeShade="95"/>
        <w:sz w:val="22"/>
      </w:rPr>
    </w:tblStylePr>
  </w:style>
  <w:style w:type="table" w:styleId="1036">
    <w:name w:val="Lined - Accent"/>
    <w:basedOn w:val="106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037">
    <w:name w:val="Lined - Accent 1"/>
    <w:basedOn w:val="106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038">
    <w:name w:val="Lined - Accent 2"/>
    <w:basedOn w:val="106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039">
    <w:name w:val="Lined - Accent 3"/>
    <w:basedOn w:val="106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040">
    <w:name w:val="Lined - Accent 4"/>
    <w:basedOn w:val="106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041">
    <w:name w:val="Lined - Accent 5"/>
    <w:basedOn w:val="106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042">
    <w:name w:val="Lined - Accent 6"/>
    <w:basedOn w:val="106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043">
    <w:name w:val="Bordered &amp; Lined - Accent"/>
    <w:basedOn w:val="1065"/>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044">
    <w:name w:val="Bordered &amp; Lined - Accent 1"/>
    <w:basedOn w:val="1065"/>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045">
    <w:name w:val="Bordered &amp; Lined - Accent 2"/>
    <w:basedOn w:val="1065"/>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046">
    <w:name w:val="Bordered &amp; Lined - Accent 3"/>
    <w:basedOn w:val="1065"/>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047">
    <w:name w:val="Bordered &amp; Lined - Accent 4"/>
    <w:basedOn w:val="1065"/>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048">
    <w:name w:val="Bordered &amp; Lined - Accent 5"/>
    <w:basedOn w:val="106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049">
    <w:name w:val="Bordered &amp; Lined - Accent 6"/>
    <w:basedOn w:val="1065"/>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050">
    <w:name w:val="Bordered"/>
    <w:basedOn w:val="1065"/>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051">
    <w:name w:val="Bordered - Accent 1"/>
    <w:basedOn w:val="1065"/>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052">
    <w:name w:val="Bordered - Accent 2"/>
    <w:basedOn w:val="1065"/>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053">
    <w:name w:val="Bordered - Accent 3"/>
    <w:basedOn w:val="1065"/>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054">
    <w:name w:val="Bordered - Accent 4"/>
    <w:basedOn w:val="1065"/>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055">
    <w:name w:val="Bordered - Accent 5"/>
    <w:basedOn w:val="106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056">
    <w:name w:val="Bordered - Accent 6"/>
    <w:basedOn w:val="1065"/>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057">
    <w:name w:val="Footnote Text Char"/>
    <w:link w:val="1079"/>
    <w:uiPriority w:val="99"/>
    <w:rPr>
      <w:sz w:val="18"/>
    </w:rPr>
  </w:style>
  <w:style w:type="paragraph" w:styleId="1058">
    <w:name w:val="endnote text"/>
    <w:basedOn w:val="1063"/>
    <w:link w:val="1059"/>
    <w:uiPriority w:val="99"/>
    <w:semiHidden/>
    <w:unhideWhenUsed/>
    <w:pPr>
      <w:spacing w:after="0" w:line="240" w:lineRule="auto"/>
    </w:pPr>
    <w:rPr>
      <w:sz w:val="20"/>
    </w:rPr>
  </w:style>
  <w:style w:type="character" w:styleId="1059">
    <w:name w:val="Endnote Text Char"/>
    <w:link w:val="1058"/>
    <w:uiPriority w:val="99"/>
    <w:rPr>
      <w:sz w:val="20"/>
    </w:rPr>
  </w:style>
  <w:style w:type="character" w:styleId="1060">
    <w:name w:val="endnote reference"/>
    <w:basedOn w:val="1064"/>
    <w:uiPriority w:val="99"/>
    <w:semiHidden/>
    <w:unhideWhenUsed/>
    <w:rPr>
      <w:vertAlign w:val="superscript"/>
    </w:rPr>
  </w:style>
  <w:style w:type="paragraph" w:styleId="1061">
    <w:name w:val="TOC Heading"/>
    <w:uiPriority w:val="39"/>
    <w:unhideWhenUsed/>
  </w:style>
  <w:style w:type="paragraph" w:styleId="1062">
    <w:name w:val="table of figures"/>
    <w:basedOn w:val="1063"/>
    <w:next w:val="1063"/>
    <w:uiPriority w:val="99"/>
    <w:unhideWhenUsed/>
    <w:pPr>
      <w:spacing w:after="0" w:afterAutospacing="0"/>
    </w:pPr>
  </w:style>
  <w:style w:type="paragraph" w:styleId="1063" w:default="1">
    <w:name w:val="Normal"/>
    <w:qFormat/>
  </w:style>
  <w:style w:type="character" w:styleId="1064" w:default="1">
    <w:name w:val="Default Paragraph Font"/>
    <w:uiPriority w:val="1"/>
    <w:semiHidden/>
    <w:unhideWhenUsed/>
  </w:style>
  <w:style w:type="table" w:styleId="1065" w:default="1">
    <w:name w:val="Normal Table"/>
    <w:uiPriority w:val="99"/>
    <w:semiHidden/>
    <w:unhideWhenUsed/>
    <w:tblPr>
      <w:tblInd w:w="0" w:type="dxa"/>
      <w:tblCellMar>
        <w:left w:w="108" w:type="dxa"/>
        <w:top w:w="0" w:type="dxa"/>
        <w:right w:w="108" w:type="dxa"/>
        <w:bottom w:w="0" w:type="dxa"/>
      </w:tblCellMar>
    </w:tblPr>
  </w:style>
  <w:style w:type="numbering" w:styleId="1066" w:default="1">
    <w:name w:val="No List"/>
    <w:uiPriority w:val="99"/>
    <w:semiHidden/>
    <w:unhideWhenUsed/>
  </w:style>
  <w:style w:type="paragraph" w:styleId="1067" w:customStyle="1">
    <w:name w:val="[РГ] Раздел"/>
    <w:basedOn w:val="1063"/>
    <w:next w:val="1068"/>
    <w:qFormat/>
    <w:pPr>
      <w:numPr>
        <w:ilvl w:val="0"/>
        <w:numId w:val="1"/>
      </w:numPr>
      <w:jc w:val="both"/>
      <w:keepNext/>
      <w:pageBreakBefore/>
      <w:spacing w:before="0" w:after="360"/>
      <w:outlineLvl w:val="0"/>
    </w:pPr>
    <w:rPr>
      <w:b/>
      <w:bCs/>
      <w:caps/>
    </w:rPr>
  </w:style>
  <w:style w:type="paragraph" w:styleId="1068" w:customStyle="1">
    <w:name w:val="[РГ] Подраздел"/>
    <w:basedOn w:val="1063"/>
    <w:next w:val="1069"/>
    <w:qFormat/>
    <w:pPr>
      <w:numPr>
        <w:ilvl w:val="1"/>
        <w:numId w:val="1"/>
      </w:numPr>
      <w:jc w:val="both"/>
      <w:keepNext/>
      <w:spacing w:before="360"/>
      <w:outlineLvl w:val="1"/>
    </w:pPr>
    <w:rPr>
      <w:b/>
      <w:bCs/>
    </w:rPr>
  </w:style>
  <w:style w:type="paragraph" w:styleId="1069" w:customStyle="1">
    <w:name w:val="[РГ] Пункт"/>
    <w:basedOn w:val="1063"/>
    <w:qFormat/>
    <w:pPr>
      <w:numPr>
        <w:ilvl w:val="2"/>
        <w:numId w:val="1"/>
      </w:numPr>
      <w:jc w:val="both"/>
      <w:outlineLvl w:val="2"/>
    </w:pPr>
  </w:style>
  <w:style w:type="paragraph" w:styleId="1070" w:customStyle="1">
    <w:name w:val="[РГ] Подпункт"/>
    <w:basedOn w:val="1063"/>
    <w:qFormat/>
    <w:pPr>
      <w:numPr>
        <w:ilvl w:val="3"/>
        <w:numId w:val="1"/>
      </w:numPr>
      <w:jc w:val="both"/>
      <w:outlineLvl w:val="3"/>
    </w:pPr>
  </w:style>
  <w:style w:type="paragraph" w:styleId="1071" w:customStyle="1">
    <w:name w:val="[РГ] Перечисление"/>
    <w:basedOn w:val="1063"/>
    <w:qFormat/>
    <w:pPr>
      <w:numPr>
        <w:ilvl w:val="4"/>
        <w:numId w:val="1"/>
      </w:numPr>
      <w:jc w:val="both"/>
      <w:outlineLvl w:val="4"/>
    </w:pPr>
  </w:style>
  <w:style w:type="paragraph" w:styleId="1072" w:customStyle="1">
    <w:name w:val="[РГ] Заголовок"/>
    <w:basedOn w:val="1063"/>
    <w:next w:val="1073"/>
    <w:qFormat/>
    <w:pPr>
      <w:jc w:val="both"/>
      <w:keepNext/>
      <w:pageBreakBefore/>
      <w:spacing w:before="0" w:after="360"/>
    </w:pPr>
    <w:rPr>
      <w:b/>
      <w:bCs/>
      <w:caps/>
    </w:rPr>
  </w:style>
  <w:style w:type="paragraph" w:styleId="1073" w:customStyle="1">
    <w:name w:val="[РГ] Текст"/>
    <w:basedOn w:val="1063"/>
    <w:qFormat/>
    <w:pPr>
      <w:jc w:val="both"/>
    </w:pPr>
  </w:style>
  <w:style w:type="paragraph" w:styleId="1074">
    <w:name w:val="Header"/>
    <w:basedOn w:val="1063"/>
    <w:link w:val="1075"/>
    <w:uiPriority w:val="99"/>
    <w:unhideWhenUsed/>
    <w:pPr>
      <w:jc w:val="center"/>
      <w:spacing w:before="0" w:after="120"/>
    </w:pPr>
  </w:style>
  <w:style w:type="character" w:styleId="1075" w:customStyle="1">
    <w:name w:val="Верхний колонтитул Знак"/>
    <w:basedOn w:val="1064"/>
    <w:link w:val="1074"/>
    <w:uiPriority w:val="99"/>
  </w:style>
  <w:style w:type="paragraph" w:styleId="1076">
    <w:name w:val="Footer"/>
    <w:basedOn w:val="1063"/>
    <w:link w:val="1077"/>
    <w:uiPriority w:val="99"/>
    <w:unhideWhenUsed/>
    <w:pPr>
      <w:jc w:val="right"/>
    </w:pPr>
  </w:style>
  <w:style w:type="character" w:styleId="1077" w:customStyle="1">
    <w:name w:val="Нижний колонтитул Знак"/>
    <w:basedOn w:val="1064"/>
    <w:link w:val="1076"/>
    <w:uiPriority w:val="99"/>
  </w:style>
  <w:style w:type="character" w:styleId="1078" w:customStyle="1">
    <w:name w:val="[РГ] Инструкция для организатора"/>
    <w:basedOn w:val="1064"/>
    <w:uiPriority w:val="1"/>
    <w:qFormat/>
    <w:rPr>
      <w:i/>
      <w:iCs/>
      <w:shd w:val="clear" w:color="auto" w:fill="ffff99"/>
      <w:lang w:val="ru-RU"/>
    </w:rPr>
  </w:style>
  <w:style w:type="paragraph" w:styleId="1079">
    <w:name w:val="footnote text"/>
    <w:basedOn w:val="1063"/>
    <w:link w:val="1080"/>
    <w:uiPriority w:val="99"/>
    <w:semiHidden/>
    <w:unhideWhenUsed/>
    <w:pPr>
      <w:spacing w:before="0"/>
    </w:pPr>
    <w:rPr>
      <w:sz w:val="20"/>
      <w:szCs w:val="20"/>
    </w:rPr>
  </w:style>
  <w:style w:type="character" w:styleId="1080" w:customStyle="1">
    <w:name w:val="Текст сноски Знак"/>
    <w:basedOn w:val="1064"/>
    <w:link w:val="1079"/>
    <w:uiPriority w:val="99"/>
    <w:semiHidden/>
    <w:rPr>
      <w:sz w:val="20"/>
      <w:szCs w:val="20"/>
    </w:rPr>
  </w:style>
  <w:style w:type="character" w:styleId="1081">
    <w:name w:val="footnote reference"/>
    <w:basedOn w:val="1064"/>
    <w:unhideWhenUsed/>
    <w:rPr>
      <w:vertAlign w:val="superscript"/>
    </w:rPr>
  </w:style>
  <w:style w:type="paragraph" w:styleId="1082" w:customStyle="1">
    <w:name w:val="[РГ] Сноска"/>
    <w:basedOn w:val="1079"/>
    <w:qFormat/>
    <w:pPr>
      <w:ind w:left="567" w:hanging="567"/>
      <w:jc w:val="both"/>
      <w:spacing w:before="80"/>
    </w:pPr>
    <w:rPr>
      <w:sz w:val="22"/>
    </w:rPr>
  </w:style>
  <w:style w:type="character" w:styleId="1083">
    <w:name w:val="Hyperlink"/>
    <w:basedOn w:val="1064"/>
    <w:uiPriority w:val="99"/>
    <w:unhideWhenUsed/>
    <w:rPr>
      <w:color w:val="0563c1" w:themeColor="hyperlink"/>
      <w:u w:val="single"/>
    </w:rPr>
  </w:style>
  <w:style w:type="character" w:styleId="1084">
    <w:name w:val="Unresolved Mention"/>
    <w:basedOn w:val="1064"/>
    <w:uiPriority w:val="99"/>
    <w:semiHidden/>
    <w:unhideWhenUsed/>
    <w:rPr>
      <w:color w:val="605e5c"/>
      <w:shd w:val="clear" w:color="auto" w:fill="e1dfdd"/>
    </w:rPr>
  </w:style>
  <w:style w:type="paragraph" w:styleId="1085">
    <w:name w:val="toc 2"/>
    <w:basedOn w:val="1063"/>
    <w:next w:val="1063"/>
    <w:uiPriority w:val="39"/>
    <w:unhideWhenUsed/>
    <w:pPr>
      <w:ind w:left="851" w:hanging="851"/>
      <w:spacing w:after="120"/>
      <w:tabs>
        <w:tab w:val="left" w:pos="851" w:leader="none"/>
        <w:tab w:val="right" w:pos="9923" w:leader="none"/>
      </w:tabs>
    </w:pPr>
  </w:style>
  <w:style w:type="paragraph" w:styleId="1086">
    <w:name w:val="toc 1"/>
    <w:basedOn w:val="1063"/>
    <w:next w:val="1063"/>
    <w:uiPriority w:val="39"/>
    <w:unhideWhenUsed/>
    <w:pPr>
      <w:ind w:left="851" w:hanging="851"/>
      <w:keepNext/>
      <w:spacing w:after="120"/>
      <w:tabs>
        <w:tab w:val="left" w:pos="851" w:leader="none"/>
        <w:tab w:val="right" w:pos="9923" w:leader="none"/>
      </w:tabs>
    </w:pPr>
    <w:rPr>
      <w:b/>
      <w:caps/>
    </w:rPr>
  </w:style>
  <w:style w:type="paragraph" w:styleId="1087">
    <w:name w:val="toc 3"/>
    <w:basedOn w:val="1063"/>
    <w:next w:val="1063"/>
    <w:uiPriority w:val="39"/>
    <w:unhideWhenUsed/>
    <w:pPr>
      <w:ind w:left="440"/>
      <w:spacing w:before="0" w:after="100" w:line="259" w:lineRule="auto"/>
    </w:pPr>
    <w:rPr>
      <w:rFonts w:asciiTheme="minorHAnsi" w:hAnsiTheme="minorHAnsi" w:eastAsiaTheme="minorEastAsia"/>
      <w:sz w:val="22"/>
      <w:lang w:eastAsia="ru-RU"/>
    </w:rPr>
  </w:style>
  <w:style w:type="paragraph" w:styleId="1088">
    <w:name w:val="toc 4"/>
    <w:basedOn w:val="1063"/>
    <w:next w:val="1063"/>
    <w:uiPriority w:val="39"/>
    <w:unhideWhenUsed/>
    <w:pPr>
      <w:ind w:left="660"/>
      <w:spacing w:before="0" w:after="100" w:line="259" w:lineRule="auto"/>
    </w:pPr>
    <w:rPr>
      <w:rFonts w:asciiTheme="minorHAnsi" w:hAnsiTheme="minorHAnsi" w:eastAsiaTheme="minorEastAsia"/>
      <w:sz w:val="22"/>
      <w:lang w:eastAsia="ru-RU"/>
    </w:rPr>
  </w:style>
  <w:style w:type="paragraph" w:styleId="1089">
    <w:name w:val="toc 5"/>
    <w:basedOn w:val="1063"/>
    <w:next w:val="1063"/>
    <w:uiPriority w:val="39"/>
    <w:unhideWhenUsed/>
    <w:pPr>
      <w:ind w:left="880"/>
      <w:spacing w:before="0" w:after="100" w:line="259" w:lineRule="auto"/>
    </w:pPr>
    <w:rPr>
      <w:rFonts w:asciiTheme="minorHAnsi" w:hAnsiTheme="minorHAnsi" w:eastAsiaTheme="minorEastAsia"/>
      <w:sz w:val="22"/>
      <w:lang w:eastAsia="ru-RU"/>
    </w:rPr>
  </w:style>
  <w:style w:type="paragraph" w:styleId="1090">
    <w:name w:val="toc 6"/>
    <w:basedOn w:val="1063"/>
    <w:next w:val="1063"/>
    <w:uiPriority w:val="39"/>
    <w:unhideWhenUsed/>
    <w:pPr>
      <w:ind w:left="1100"/>
      <w:spacing w:before="0" w:after="100" w:line="259" w:lineRule="auto"/>
    </w:pPr>
    <w:rPr>
      <w:rFonts w:asciiTheme="minorHAnsi" w:hAnsiTheme="minorHAnsi" w:eastAsiaTheme="minorEastAsia"/>
      <w:sz w:val="22"/>
      <w:lang w:eastAsia="ru-RU"/>
    </w:rPr>
  </w:style>
  <w:style w:type="paragraph" w:styleId="1091">
    <w:name w:val="toc 7"/>
    <w:basedOn w:val="1063"/>
    <w:next w:val="1063"/>
    <w:uiPriority w:val="39"/>
    <w:unhideWhenUsed/>
    <w:pPr>
      <w:ind w:left="1320"/>
      <w:spacing w:before="0" w:after="100" w:line="259" w:lineRule="auto"/>
    </w:pPr>
    <w:rPr>
      <w:rFonts w:asciiTheme="minorHAnsi" w:hAnsiTheme="minorHAnsi" w:eastAsiaTheme="minorEastAsia"/>
      <w:sz w:val="22"/>
      <w:lang w:eastAsia="ru-RU"/>
    </w:rPr>
  </w:style>
  <w:style w:type="paragraph" w:styleId="1092">
    <w:name w:val="toc 8"/>
    <w:basedOn w:val="1063"/>
    <w:next w:val="1063"/>
    <w:uiPriority w:val="39"/>
    <w:unhideWhenUsed/>
    <w:pPr>
      <w:ind w:left="1540"/>
      <w:spacing w:before="0" w:after="100" w:line="259" w:lineRule="auto"/>
    </w:pPr>
    <w:rPr>
      <w:rFonts w:asciiTheme="minorHAnsi" w:hAnsiTheme="minorHAnsi" w:eastAsiaTheme="minorEastAsia"/>
      <w:sz w:val="22"/>
      <w:lang w:eastAsia="ru-RU"/>
    </w:rPr>
  </w:style>
  <w:style w:type="paragraph" w:styleId="1093">
    <w:name w:val="toc 9"/>
    <w:basedOn w:val="1063"/>
    <w:next w:val="1063"/>
    <w:uiPriority w:val="39"/>
    <w:unhideWhenUsed/>
    <w:pPr>
      <w:ind w:left="1760"/>
      <w:spacing w:before="0" w:after="100" w:line="259" w:lineRule="auto"/>
    </w:pPr>
    <w:rPr>
      <w:rFonts w:asciiTheme="minorHAnsi" w:hAnsiTheme="minorHAnsi" w:eastAsiaTheme="minorEastAsia"/>
      <w:sz w:val="22"/>
      <w:lang w:eastAsia="ru-RU"/>
    </w:rPr>
  </w:style>
  <w:style w:type="table" w:styleId="1094" w:customStyle="1">
    <w:name w:val="[РГ] Таблица"/>
    <w:basedOn w:val="1065"/>
    <w:uiPriority w:val="99"/>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rPr>
        <w:b/>
      </w:rPr>
      <w:pPr>
        <w:jc w:val="center"/>
        <w:keepLines w:val="0"/>
        <w:keepNext/>
        <w:pageBreakBefore w:val="0"/>
        <w:widowControl/>
      </w:pPr>
    </w:tblStylePr>
  </w:style>
  <w:style w:type="table" w:styleId="1095">
    <w:name w:val="Table Grid"/>
    <w:basedOn w:val="1065"/>
    <w:uiPriority w:val="39"/>
    <w:pPr>
      <w:spacing w:before="0"/>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96">
    <w:name w:val="Placeholder Text"/>
    <w:basedOn w:val="1064"/>
    <w:uiPriority w:val="99"/>
    <w:semiHidden/>
    <w:rPr>
      <w:color w:val="808080"/>
    </w:rPr>
  </w:style>
  <w:style w:type="character" w:styleId="1097" w:customStyle="1">
    <w:name w:val="[РГ] Отсылка"/>
    <w:basedOn w:val="1064"/>
    <w:uiPriority w:val="1"/>
    <w:qFormat/>
    <w:rPr>
      <w:color w:val="auto"/>
      <w:spacing w:val="0"/>
      <w:u w:val="single"/>
      <w:shd w:val="clear" w:color="auto" w:fill="auto"/>
      <w:lang w:val="ru-RU"/>
    </w:rPr>
  </w:style>
  <w:style w:type="character" w:styleId="1098">
    <w:name w:val="annotation reference"/>
    <w:basedOn w:val="1064"/>
    <w:unhideWhenUsed/>
    <w:rPr>
      <w:sz w:val="16"/>
      <w:szCs w:val="16"/>
    </w:rPr>
  </w:style>
  <w:style w:type="paragraph" w:styleId="1099">
    <w:name w:val="annotation text"/>
    <w:basedOn w:val="1063"/>
    <w:link w:val="1100"/>
    <w:uiPriority w:val="99"/>
    <w:unhideWhenUsed/>
    <w:rPr>
      <w:sz w:val="20"/>
      <w:szCs w:val="20"/>
    </w:rPr>
  </w:style>
  <w:style w:type="character" w:styleId="1100" w:customStyle="1">
    <w:name w:val="Текст примечания Знак"/>
    <w:basedOn w:val="1064"/>
    <w:link w:val="1099"/>
    <w:uiPriority w:val="99"/>
    <w:rPr>
      <w:sz w:val="20"/>
      <w:szCs w:val="20"/>
    </w:rPr>
  </w:style>
  <w:style w:type="paragraph" w:styleId="1101">
    <w:name w:val="annotation subject"/>
    <w:basedOn w:val="1099"/>
    <w:next w:val="1099"/>
    <w:link w:val="1102"/>
    <w:uiPriority w:val="99"/>
    <w:semiHidden/>
    <w:unhideWhenUsed/>
    <w:rPr>
      <w:b/>
      <w:bCs/>
    </w:rPr>
  </w:style>
  <w:style w:type="character" w:styleId="1102" w:customStyle="1">
    <w:name w:val="Тема примечания Знак"/>
    <w:basedOn w:val="1100"/>
    <w:link w:val="1101"/>
    <w:uiPriority w:val="99"/>
    <w:semiHidden/>
    <w:rPr>
      <w:b/>
      <w:bCs/>
      <w:sz w:val="20"/>
      <w:szCs w:val="20"/>
    </w:rPr>
  </w:style>
  <w:style w:type="paragraph" w:styleId="1103" w:customStyle="1">
    <w:name w:val="[РГ] Альтернатива / Дополнение"/>
    <w:basedOn w:val="1073"/>
    <w:next w:val="1073"/>
    <w:qFormat/>
    <w:rPr>
      <w:i/>
      <w:shd w:val="clear" w:color="auto" w:fill="ccecff"/>
    </w:rPr>
  </w:style>
  <w:style w:type="character" w:styleId="1104" w:customStyle="1">
    <w:name w:val="[РГ] Инструкция для участника"/>
    <w:basedOn w:val="1064"/>
    <w:uiPriority w:val="1"/>
    <w:qFormat/>
    <w:rPr>
      <w:i/>
      <w:shd w:val="clear" w:color="auto" w:fill="d0cece" w:themeFill="background2" w:themeFillShade="E6"/>
      <w:lang w:val="ru-RU"/>
    </w:rPr>
  </w:style>
  <w:style w:type="paragraph" w:styleId="1105">
    <w:name w:val="Revision"/>
    <w:hidden/>
    <w:uiPriority w:val="99"/>
    <w:semiHidden/>
    <w:pPr>
      <w:spacing w:before="0"/>
    </w:pPr>
  </w:style>
  <w:style w:type="character" w:styleId="1106">
    <w:name w:val="FollowedHyperlink"/>
    <w:basedOn w:val="1064"/>
    <w:uiPriority w:val="99"/>
    <w:semiHidden/>
    <w:unhideWhenUsed/>
    <w:rPr>
      <w:color w:val="954f72" w:themeColor="followedHyperlink"/>
      <w:u w:val="single"/>
    </w:rPr>
  </w:style>
  <w:style w:type="paragraph" w:styleId="1107">
    <w:name w:val="List Paragraph"/>
    <w:basedOn w:val="1063"/>
    <w:uiPriority w:val="34"/>
    <w:qFormat/>
    <w:pPr>
      <w:contextualSpacing/>
      <w:ind w:left="720"/>
    </w:pPr>
  </w:style>
  <w:style w:type="paragraph" w:styleId="1108">
    <w:name w:val="Balloon Text"/>
    <w:basedOn w:val="1063"/>
    <w:link w:val="1109"/>
    <w:uiPriority w:val="99"/>
    <w:semiHidden/>
    <w:unhideWhenUsed/>
    <w:pPr>
      <w:spacing w:before="0"/>
    </w:pPr>
    <w:rPr>
      <w:rFonts w:ascii="Segoe UI" w:hAnsi="Segoe UI" w:cs="Segoe UI"/>
      <w:sz w:val="18"/>
      <w:szCs w:val="18"/>
    </w:rPr>
  </w:style>
  <w:style w:type="character" w:styleId="1109" w:customStyle="1">
    <w:name w:val="Текст выноски Знак"/>
    <w:basedOn w:val="1064"/>
    <w:link w:val="1108"/>
    <w:uiPriority w:val="99"/>
    <w:semiHidden/>
    <w:rPr>
      <w:rFonts w:ascii="Segoe UI" w:hAnsi="Segoe UI" w:cs="Segoe UI"/>
      <w:sz w:val="18"/>
      <w:szCs w:val="18"/>
    </w:rPr>
  </w:style>
  <w:style w:type="paragraph" w:styleId="1110" w:customStyle="1">
    <w:name w:val="РГ_ЕПоЗ_1."/>
    <w:basedOn w:val="1063"/>
    <w:qFormat/>
    <w:pPr>
      <w:numPr>
        <w:ilvl w:val="0"/>
        <w:numId w:val="44"/>
      </w:numPr>
      <w:jc w:val="both"/>
      <w:keepNext/>
      <w:spacing w:before="480"/>
      <w:tabs>
        <w:tab w:val="left" w:pos="1418" w:leader="none"/>
      </w:tabs>
      <w:outlineLvl w:val="0"/>
    </w:pPr>
    <w:rPr>
      <w:rFonts w:eastAsia="Times New Roman" w:cs="Times New Roman"/>
      <w:b/>
      <w:sz w:val="28"/>
      <w:szCs w:val="28"/>
      <w:lang w:eastAsia="ru-RU"/>
    </w:rPr>
  </w:style>
  <w:style w:type="paragraph" w:styleId="1111" w:customStyle="1">
    <w:name w:val="РГ_ЕПоЗ_1.1"/>
    <w:basedOn w:val="1063"/>
    <w:qFormat/>
    <w:pPr>
      <w:numPr>
        <w:ilvl w:val="1"/>
        <w:numId w:val="44"/>
      </w:numPr>
      <w:ind w:left="1134" w:hanging="567"/>
      <w:jc w:val="both"/>
      <w:keepNext/>
      <w:spacing w:before="360"/>
      <w:tabs>
        <w:tab w:val="left" w:pos="1418" w:leader="none"/>
      </w:tabs>
      <w:outlineLvl w:val="1"/>
    </w:pPr>
    <w:rPr>
      <w:rFonts w:eastAsia="Times New Roman" w:cs="Times New Roman"/>
      <w:b/>
      <w:sz w:val="28"/>
      <w:szCs w:val="28"/>
      <w:lang w:eastAsia="ru-RU"/>
    </w:rPr>
  </w:style>
  <w:style w:type="paragraph" w:styleId="1112" w:customStyle="1">
    <w:name w:val="РГ_ЕПоЗ_а)"/>
    <w:basedOn w:val="1107"/>
    <w:link w:val="1114"/>
    <w:qFormat/>
    <w:pPr>
      <w:numPr>
        <w:ilvl w:val="4"/>
        <w:numId w:val="44"/>
      </w:numPr>
      <w:contextualSpacing w:val="0"/>
      <w:jc w:val="both"/>
    </w:pPr>
    <w:rPr>
      <w:rFonts w:eastAsia="Calibri" w:cs="Times New Roman"/>
      <w:sz w:val="28"/>
      <w:szCs w:val="28"/>
    </w:rPr>
  </w:style>
  <w:style w:type="paragraph" w:styleId="1113" w:customStyle="1">
    <w:name w:val="РГ_ЕПоЗ_1.1.1.1"/>
    <w:basedOn w:val="1063"/>
    <w:qFormat/>
    <w:pPr>
      <w:numPr>
        <w:ilvl w:val="3"/>
        <w:numId w:val="44"/>
      </w:numPr>
      <w:jc w:val="both"/>
      <w:tabs>
        <w:tab w:val="left" w:pos="1843" w:leader="none"/>
      </w:tabs>
    </w:pPr>
    <w:rPr>
      <w:rFonts w:eastAsia="Times New Roman" w:cs="Times New Roman"/>
      <w:sz w:val="28"/>
      <w:szCs w:val="28"/>
      <w:lang w:eastAsia="ru-RU"/>
    </w:rPr>
  </w:style>
  <w:style w:type="character" w:styleId="1114" w:customStyle="1">
    <w:name w:val="РГ_ЕПоЗ_а) Знак"/>
    <w:basedOn w:val="1064"/>
    <w:link w:val="1112"/>
    <w:rPr>
      <w:rFonts w:eastAsia="Calibri" w:cs="Times New Roman"/>
      <w:sz w:val="28"/>
      <w:szCs w:val="28"/>
    </w:rPr>
  </w:style>
  <w:style w:type="paragraph" w:styleId="1115" w:customStyle="1">
    <w:name w:val="РГ_ЕПоЗ_-"/>
    <w:basedOn w:val="1063"/>
    <w:link w:val="1117"/>
    <w:qFormat/>
    <w:pPr>
      <w:numPr>
        <w:ilvl w:val="5"/>
        <w:numId w:val="44"/>
      </w:numPr>
      <w:jc w:val="both"/>
      <w:spacing w:before="0"/>
      <w:tabs>
        <w:tab w:val="left" w:pos="2552" w:leader="none"/>
      </w:tabs>
    </w:pPr>
    <w:rPr>
      <w:rFonts w:eastAsia="Times New Roman" w:cs="Times New Roman"/>
      <w:sz w:val="28"/>
      <w:szCs w:val="20"/>
      <w:lang w:eastAsia="ru-RU"/>
    </w:rPr>
  </w:style>
  <w:style w:type="paragraph" w:styleId="1116" w:customStyle="1">
    <w:name w:val="РГ_ЕПоЗ_1.1.1"/>
    <w:basedOn w:val="1063"/>
    <w:qFormat/>
    <w:pPr>
      <w:numPr>
        <w:ilvl w:val="2"/>
        <w:numId w:val="44"/>
      </w:numPr>
      <w:jc w:val="both"/>
      <w:tabs>
        <w:tab w:val="left" w:pos="1134" w:leader="none"/>
      </w:tabs>
    </w:pPr>
    <w:rPr>
      <w:rFonts w:eastAsia="Times New Roman" w:cs="Times New Roman"/>
      <w:sz w:val="28"/>
      <w:szCs w:val="28"/>
      <w:lang w:eastAsia="ru-RU"/>
    </w:rPr>
  </w:style>
  <w:style w:type="character" w:styleId="1117" w:customStyle="1">
    <w:name w:val="РГ_ЕПоЗ_- Знак"/>
    <w:basedOn w:val="1064"/>
    <w:link w:val="1115"/>
    <w:rPr>
      <w:rFonts w:eastAsia="Times New Roman" w:cs="Times New Roman"/>
      <w:sz w:val="28"/>
      <w:szCs w:val="20"/>
      <w:lang w:eastAsia="ru-RU"/>
    </w:rPr>
  </w:style>
  <w:style w:type="paragraph" w:styleId="1118" w:customStyle="1">
    <w:name w:val="Table_header"/>
    <w:pPr>
      <w:contextualSpacing w:val="0"/>
      <w:ind w:left="0" w:right="0" w:firstLine="0"/>
      <w:jc w:val="both"/>
      <w:keepLines w:val="0"/>
      <w:keepNext w:val="0"/>
      <w:pageBreakBefore w:val="0"/>
      <w:spacing w:before="12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bCs w:val="0"/>
      <w:i w:val="0"/>
      <w:iCs w:val="0"/>
      <w:caps w:val="0"/>
      <w:smallCaps w:val="0"/>
      <w:strike w:val="0"/>
      <w:vanish w:val="0"/>
      <w:color w:val="auto"/>
      <w:spacing w:val="0"/>
      <w:position w:val="0"/>
      <w:sz w:val="20"/>
      <w:szCs w:val="24"/>
      <w:highlight w:val="none"/>
      <w:u w:val="none"/>
      <w:vertAlign w:val="baseline"/>
      <w:rtl w:val="0"/>
      <w:cs w:val="0"/>
      <w:lang w:val="ru-RU" w:eastAsia="ru-RU" w:bidi="ar-SA"/>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customXml" Target="../customXml/item1.xml" /><Relationship Id="rId12" Type="http://schemas.openxmlformats.org/officeDocument/2006/relationships/image" Target="media/image1.png"/><Relationship Id="rId13" Type="http://schemas.openxmlformats.org/officeDocument/2006/relationships/hyperlink" Target="https://msp.roseltorg.ru" TargetMode="External"/><Relationship Id="rId14" Type="http://schemas.openxmlformats.org/officeDocument/2006/relationships/hyperlink" Target="http://www.roseltorg.ru/knowledge_db/docs/documents" TargetMode="External"/><Relationship Id="rId15" Type="http://schemas.openxmlformats.org/officeDocument/2006/relationships/hyperlink" Target="mailto:dgk@dgk.ru" TargetMode="External"/><Relationship Id="rId16" Type="http://schemas.openxmlformats.org/officeDocument/2006/relationships/hyperlink" Target="http://&#1087;&#1086;&#1095;&#1090;&#1099;:chernikova-na@dgk.ru" TargetMode="External"/><Relationship Id="rId17" Type="http://schemas.openxmlformats.org/officeDocument/2006/relationships/hyperlink" Target="http://chernikova-na@dgk.ru" TargetMode="External"/><Relationship Id="rId18" Type="http://schemas.openxmlformats.org/officeDocument/2006/relationships/hyperlink" Target="http://motina-sv@dgk.ru" TargetMode="External"/><Relationship Id="rId19" Type="http://schemas.openxmlformats.org/officeDocument/2006/relationships/image" Target="media/image2.png"/><Relationship Id="rId20" Type="http://schemas.openxmlformats.org/officeDocument/2006/relationships/image" Target="media/media1.svg"/><Relationship Id="rId21" Type="http://schemas.openxmlformats.org/officeDocument/2006/relationships/image" Target="media/image3.png"/><Relationship Id="rId22" Type="http://schemas.openxmlformats.org/officeDocument/2006/relationships/image" Target="media/media2.svg"/><Relationship Id="rId23" Type="http://schemas.openxmlformats.org/officeDocument/2006/relationships/image" Target="media/image4.png"/><Relationship Id="rId24" Type="http://schemas.openxmlformats.org/officeDocument/2006/relationships/image" Target="media/media3.svg"/><Relationship Id="rId25" Type="http://schemas.openxmlformats.org/officeDocument/2006/relationships/image" Target="media/image5.png"/><Relationship Id="rId26" Type="http://schemas.openxmlformats.org/officeDocument/2006/relationships/image" Target="media/media4.svg"/><Relationship Id="rId27" Type="http://schemas.openxmlformats.org/officeDocument/2006/relationships/image" Target="media/image6.png"/><Relationship Id="rId28" Type="http://schemas.openxmlformats.org/officeDocument/2006/relationships/image" Target="media/media5.svg"/></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AED4D-8772-400C-A8F0-E4BF5D62D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Р7-Офис/2025.2.2.832</Application>
  <Company>ПАО РусГидро; ИнКонТех</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о закупке</dc:title>
  <dc:subject>Альбом типовых форм</dc:subject>
  <dc:creator>Владимир Щербаков</dc:creator>
  <cp:keywords>Типовая форма</cp:keywords>
  <dc:description/>
  <cp:lastModifiedBy>chernikova_na</cp:lastModifiedBy>
  <cp:revision>196</cp:revision>
  <dcterms:created xsi:type="dcterms:W3CDTF">2023-06-27T10:22:00Z</dcterms:created>
  <dcterms:modified xsi:type="dcterms:W3CDTF">2026-09-04T03:47:40Z</dcterms:modified>
</cp:coreProperties>
</file>